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AA9150" w14:textId="77777777" w:rsidR="00FA2D96" w:rsidRPr="00C44B09" w:rsidRDefault="00FA2D96" w:rsidP="00FA2D96">
      <w:pPr>
        <w:jc w:val="center"/>
        <w:rPr>
          <w:rFonts w:ascii="Arial" w:hAnsi="Arial" w:cs="Arial"/>
          <w:b/>
          <w:sz w:val="24"/>
          <w:szCs w:val="24"/>
          <w:u w:val="single"/>
        </w:rPr>
      </w:pPr>
      <w:bookmarkStart w:id="0" w:name="_Hlk34224273"/>
    </w:p>
    <w:p w14:paraId="062541BC" w14:textId="77777777" w:rsidR="00FA2D96" w:rsidRPr="00C44B09" w:rsidRDefault="00FA2D96" w:rsidP="00FA2D96">
      <w:pPr>
        <w:jc w:val="center"/>
        <w:rPr>
          <w:rFonts w:ascii="Arial" w:hAnsi="Arial" w:cs="Arial"/>
          <w:b/>
          <w:sz w:val="24"/>
          <w:szCs w:val="24"/>
          <w:u w:val="single"/>
        </w:rPr>
      </w:pPr>
    </w:p>
    <w:p w14:paraId="5F7F9C65" w14:textId="77777777" w:rsidR="00FA2D96" w:rsidRPr="00C44B09" w:rsidRDefault="00FA2D96" w:rsidP="00FA2D96">
      <w:pPr>
        <w:jc w:val="center"/>
        <w:rPr>
          <w:rFonts w:ascii="Arial" w:hAnsi="Arial" w:cs="Arial"/>
          <w:b/>
          <w:sz w:val="24"/>
          <w:szCs w:val="24"/>
          <w:u w:val="single"/>
        </w:rPr>
      </w:pPr>
    </w:p>
    <w:p w14:paraId="34D42FC1" w14:textId="77777777" w:rsidR="00FA2D96" w:rsidRPr="00C44B09" w:rsidRDefault="00FA2D96" w:rsidP="00FA2D96">
      <w:pPr>
        <w:jc w:val="center"/>
        <w:rPr>
          <w:rFonts w:ascii="Arial" w:hAnsi="Arial" w:cs="Arial"/>
          <w:b/>
          <w:sz w:val="24"/>
          <w:szCs w:val="24"/>
          <w:u w:val="single"/>
        </w:rPr>
      </w:pPr>
    </w:p>
    <w:p w14:paraId="729121BF" w14:textId="77777777" w:rsidR="00FA2D96" w:rsidRPr="00C44B09" w:rsidRDefault="00FA2D96" w:rsidP="00FA2D96">
      <w:pPr>
        <w:jc w:val="center"/>
        <w:rPr>
          <w:rFonts w:ascii="Arial" w:hAnsi="Arial" w:cs="Arial"/>
          <w:b/>
          <w:sz w:val="24"/>
          <w:szCs w:val="24"/>
        </w:rPr>
      </w:pPr>
    </w:p>
    <w:p w14:paraId="57BA7C27" w14:textId="6783B77D" w:rsidR="00FA2D96" w:rsidRDefault="00FA2D96" w:rsidP="004C5963">
      <w:pPr>
        <w:spacing w:after="3240"/>
        <w:jc w:val="center"/>
        <w:rPr>
          <w:rFonts w:ascii="Arial" w:hAnsi="Arial" w:cs="Arial"/>
          <w:b/>
          <w:sz w:val="32"/>
          <w:szCs w:val="32"/>
        </w:rPr>
      </w:pPr>
      <w:r w:rsidRPr="00C44B09">
        <w:rPr>
          <w:rFonts w:ascii="Arial" w:hAnsi="Arial" w:cs="Arial"/>
          <w:b/>
          <w:sz w:val="32"/>
          <w:szCs w:val="32"/>
        </w:rPr>
        <w:t xml:space="preserve">METODOLOGIA DE ESTUDO </w:t>
      </w:r>
      <w:r w:rsidR="00A15A7B" w:rsidRPr="00C44B09">
        <w:rPr>
          <w:rFonts w:ascii="Arial" w:hAnsi="Arial" w:cs="Arial"/>
          <w:b/>
          <w:sz w:val="32"/>
          <w:szCs w:val="32"/>
        </w:rPr>
        <w:t xml:space="preserve">DE EFICIÊNCIA </w:t>
      </w:r>
      <w:r w:rsidRPr="00C44B09">
        <w:rPr>
          <w:rFonts w:ascii="Arial" w:hAnsi="Arial" w:cs="Arial"/>
          <w:b/>
          <w:sz w:val="32"/>
          <w:szCs w:val="32"/>
        </w:rPr>
        <w:t xml:space="preserve">E ANÁLISE DA ILUMINAÇÃO PÚBLICA DE </w:t>
      </w:r>
      <w:r w:rsidR="000A4F42">
        <w:rPr>
          <w:rFonts w:ascii="Arial" w:hAnsi="Arial" w:cs="Arial"/>
          <w:b/>
          <w:sz w:val="32"/>
          <w:szCs w:val="32"/>
        </w:rPr>
        <w:t>LIMOEIRO</w:t>
      </w:r>
      <w:r w:rsidR="00C44B09" w:rsidRPr="00C44B09">
        <w:rPr>
          <w:rFonts w:ascii="Arial" w:hAnsi="Arial" w:cs="Arial"/>
          <w:b/>
          <w:sz w:val="32"/>
          <w:szCs w:val="32"/>
        </w:rPr>
        <w:t>/</w:t>
      </w:r>
      <w:r w:rsidR="000A4F42">
        <w:rPr>
          <w:rFonts w:ascii="Arial" w:hAnsi="Arial" w:cs="Arial"/>
          <w:b/>
          <w:sz w:val="32"/>
          <w:szCs w:val="32"/>
        </w:rPr>
        <w:t>PE</w:t>
      </w:r>
    </w:p>
    <w:p w14:paraId="031CA16B" w14:textId="2E1A319C" w:rsidR="00FA2D96" w:rsidRPr="004C5963" w:rsidRDefault="004C5963" w:rsidP="004C5963">
      <w:pPr>
        <w:jc w:val="both"/>
        <w:rPr>
          <w:rFonts w:ascii="Arial" w:hAnsi="Arial" w:cs="Arial"/>
          <w:b/>
          <w:sz w:val="24"/>
          <w:szCs w:val="24"/>
        </w:rPr>
        <w:sectPr w:rsidR="00FA2D96" w:rsidRPr="004C5963" w:rsidSect="00C44B09">
          <w:headerReference w:type="default" r:id="rId9"/>
          <w:footerReference w:type="default" r:id="rId10"/>
          <w:pgSz w:w="11906" w:h="16838"/>
          <w:pgMar w:top="1417" w:right="1701" w:bottom="1417" w:left="1701" w:header="284" w:footer="708" w:gutter="0"/>
          <w:pgNumType w:start="1" w:chapStyle="1"/>
          <w:cols w:space="708"/>
          <w:docGrid w:linePitch="360"/>
        </w:sectPr>
      </w:pPr>
      <w:r>
        <w:rPr>
          <w:rFonts w:ascii="Arial" w:hAnsi="Arial" w:cs="Arial"/>
          <w:b/>
          <w:sz w:val="32"/>
          <w:szCs w:val="32"/>
        </w:rPr>
        <w:t xml:space="preserve">OBRA: </w:t>
      </w:r>
      <w:r w:rsidRPr="004C5963">
        <w:rPr>
          <w:rFonts w:ascii="Arial" w:hAnsi="Arial" w:cs="Arial"/>
          <w:b/>
          <w:sz w:val="24"/>
          <w:szCs w:val="24"/>
        </w:rPr>
        <w:t>CONTRATAÇÃO DE EMPRESA PARA PRESTAÇÃO DE SERVIÇOS TÉCNICOS ESPECIALIZADOS EM ENGENHARIA ELÉTRICA PARA MANUTENÇÃO DE ILUMINAÇÃO, FORNECIMENTO E INSTALAÇÃO DE MATERIAIS PARA SUBSTITUIÇÃO DE LUMINÁRIAS VIÁRIAS COM TECNOLOGIAS CONVENCIONAIS PARA LUMINÁRIAS EM LED AMBIENTALMENTE SUSTENTÁVEIS NO PARQUE DE ILUMINAÇÃO PÚBLICA DE LIMOEIRO/PE, COM EPI, FERRAMENTAS, EQUIPAMENTOS E IMPOSTOS INCLUÍDOS</w:t>
      </w:r>
    </w:p>
    <w:sdt>
      <w:sdtPr>
        <w:rPr>
          <w:rFonts w:ascii="Arial" w:eastAsiaTheme="minorHAnsi" w:hAnsi="Arial" w:cs="Arial"/>
          <w:color w:val="auto"/>
          <w:sz w:val="24"/>
          <w:szCs w:val="24"/>
          <w:lang w:eastAsia="en-US"/>
        </w:rPr>
        <w:id w:val="1881212401"/>
        <w:docPartObj>
          <w:docPartGallery w:val="Table of Contents"/>
          <w:docPartUnique/>
        </w:docPartObj>
      </w:sdtPr>
      <w:sdtEndPr>
        <w:rPr>
          <w:b/>
          <w:bCs/>
        </w:rPr>
      </w:sdtEndPr>
      <w:sdtContent>
        <w:p w14:paraId="11B6E159" w14:textId="2394F4CF" w:rsidR="00FA2D96" w:rsidRPr="007C7D07" w:rsidRDefault="00FA2D96">
          <w:pPr>
            <w:pStyle w:val="CabealhodoSumrio"/>
            <w:rPr>
              <w:rFonts w:ascii="Arial" w:hAnsi="Arial" w:cs="Arial"/>
              <w:sz w:val="24"/>
              <w:szCs w:val="24"/>
            </w:rPr>
          </w:pPr>
          <w:r w:rsidRPr="007C7D07">
            <w:rPr>
              <w:rFonts w:ascii="Arial" w:hAnsi="Arial" w:cs="Arial"/>
              <w:sz w:val="24"/>
              <w:szCs w:val="24"/>
            </w:rPr>
            <w:t>Sumário</w:t>
          </w:r>
        </w:p>
        <w:p w14:paraId="4AF777A4" w14:textId="75B6E242" w:rsidR="007C7D07" w:rsidRPr="007C7D07" w:rsidRDefault="00FA2D96">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r w:rsidRPr="007C7D07">
            <w:rPr>
              <w:rFonts w:ascii="Arial" w:hAnsi="Arial" w:cs="Arial"/>
              <w:sz w:val="24"/>
              <w:szCs w:val="24"/>
            </w:rPr>
            <w:fldChar w:fldCharType="begin"/>
          </w:r>
          <w:r w:rsidRPr="007C7D07">
            <w:rPr>
              <w:rFonts w:ascii="Arial" w:hAnsi="Arial" w:cs="Arial"/>
              <w:sz w:val="24"/>
              <w:szCs w:val="24"/>
            </w:rPr>
            <w:instrText xml:space="preserve"> TOC \o "1-3" \h \z \u </w:instrText>
          </w:r>
          <w:r w:rsidRPr="007C7D07">
            <w:rPr>
              <w:rFonts w:ascii="Arial" w:hAnsi="Arial" w:cs="Arial"/>
              <w:sz w:val="24"/>
              <w:szCs w:val="24"/>
            </w:rPr>
            <w:fldChar w:fldCharType="separate"/>
          </w:r>
          <w:hyperlink w:anchor="_Toc149225882" w:history="1">
            <w:r w:rsidR="007C7D07" w:rsidRPr="007C7D07">
              <w:rPr>
                <w:rStyle w:val="Hyperlink"/>
                <w:rFonts w:ascii="Arial" w:hAnsi="Arial" w:cs="Arial"/>
                <w:bCs/>
                <w:noProof/>
                <w:sz w:val="24"/>
                <w:szCs w:val="24"/>
              </w:rPr>
              <w:t>1.</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LEGISLAÇÃO SOBRE ILUMINAÇÃO PÚBLICA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_Toc149225882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3</w:t>
            </w:r>
            <w:r w:rsidR="007C7D07" w:rsidRPr="007C7D07">
              <w:rPr>
                <w:rFonts w:ascii="Arial" w:hAnsi="Arial" w:cs="Arial"/>
                <w:noProof/>
                <w:webHidden/>
                <w:sz w:val="24"/>
                <w:szCs w:val="24"/>
              </w:rPr>
              <w:fldChar w:fldCharType="end"/>
            </w:r>
          </w:hyperlink>
        </w:p>
        <w:p w14:paraId="12B5BE13" w14:textId="5DF8A373"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83" w:history="1">
            <w:r w:rsidR="007C7D07" w:rsidRPr="007C7D07">
              <w:rPr>
                <w:rStyle w:val="Hyperlink"/>
                <w:rFonts w:ascii="Arial" w:hAnsi="Arial" w:cs="Arial"/>
                <w:bCs/>
                <w:noProof/>
                <w:sz w:val="24"/>
                <w:szCs w:val="24"/>
              </w:rPr>
              <w:t>2.</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METODOLOGIA DAS SOLUÇÕES DE ENGENHARIA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_Toc149225883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61499D2B" w14:textId="799776DD" w:rsidR="007C7D07" w:rsidRPr="007C7D07" w:rsidRDefault="00CE4C79">
          <w:pPr>
            <w:pStyle w:val="Sumrio2"/>
            <w:tabs>
              <w:tab w:val="left" w:pos="880"/>
              <w:tab w:val="right" w:leader="dot" w:pos="8494"/>
            </w:tabs>
            <w:rPr>
              <w:rFonts w:ascii="Arial" w:eastAsiaTheme="minorEastAsia" w:hAnsi="Arial" w:cs="Arial"/>
              <w:noProof/>
              <w:kern w:val="2"/>
              <w:sz w:val="24"/>
              <w:szCs w:val="24"/>
              <w:lang w:eastAsia="pt-BR"/>
              <w14:ligatures w14:val="standardContextual"/>
            </w:rPr>
          </w:pPr>
          <w:hyperlink w:anchor="_Toc149225884" w:history="1">
            <w:r w:rsidR="007C7D07" w:rsidRPr="007C7D07">
              <w:rPr>
                <w:rStyle w:val="Hyperlink"/>
                <w:rFonts w:ascii="Arial" w:hAnsi="Arial" w:cs="Arial"/>
                <w:noProof/>
                <w:sz w:val="24"/>
                <w:szCs w:val="24"/>
              </w:rPr>
              <w:t>2.1</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noProof/>
                <w:sz w:val="24"/>
                <w:szCs w:val="24"/>
              </w:rPr>
              <w:t>Critérios luminotécnicos</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_Toc149225884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601F5249" w14:textId="11D082A6"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85" w:history="1">
            <w:r w:rsidR="007C7D07" w:rsidRPr="007C7D07">
              <w:rPr>
                <w:rStyle w:val="Hyperlink"/>
                <w:rFonts w:ascii="Arial" w:eastAsia="Times New Roman" w:hAnsi="Arial" w:cs="Arial"/>
                <w:noProof/>
                <w:sz w:val="24"/>
                <w:szCs w:val="24"/>
              </w:rPr>
              <w:t>2.1.1</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Iluminância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_Toc149225885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2CA4A84A" w14:textId="5B40F311"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86" w:history="1">
            <w:r w:rsidR="007C7D07" w:rsidRPr="007C7D07">
              <w:rPr>
                <w:rStyle w:val="Hyperlink"/>
                <w:rFonts w:ascii="Arial" w:eastAsia="Times New Roman" w:hAnsi="Arial" w:cs="Arial"/>
                <w:noProof/>
                <w:sz w:val="24"/>
                <w:szCs w:val="24"/>
              </w:rPr>
              <w:t>2.1.2</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Fator de uniformidade</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_Toc149225886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43D8FCB1" w14:textId="17F4BAA9"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87" w:history="1">
            <w:r w:rsidR="007C7D07" w:rsidRPr="007C7D07">
              <w:rPr>
                <w:rStyle w:val="Hyperlink"/>
                <w:rFonts w:ascii="Arial" w:eastAsia="Times New Roman" w:hAnsi="Arial" w:cs="Arial"/>
                <w:noProof/>
                <w:sz w:val="24"/>
                <w:szCs w:val="24"/>
              </w:rPr>
              <w:t>2.1.3</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Luminância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_Toc149225887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7662FC06" w14:textId="6B66E209"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88" w:history="1">
            <w:r w:rsidR="007C7D07" w:rsidRPr="007C7D07">
              <w:rPr>
                <w:rStyle w:val="Hyperlink"/>
                <w:rFonts w:ascii="Arial" w:eastAsia="Times New Roman" w:hAnsi="Arial" w:cs="Arial"/>
                <w:noProof/>
                <w:sz w:val="24"/>
                <w:szCs w:val="24"/>
              </w:rPr>
              <w:t>2.1.4</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Temperatura de cor correlata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_Toc149225888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10</w:t>
            </w:r>
            <w:r w:rsidR="007C7D07" w:rsidRPr="007C7D07">
              <w:rPr>
                <w:rFonts w:ascii="Arial" w:hAnsi="Arial" w:cs="Arial"/>
                <w:noProof/>
                <w:webHidden/>
                <w:sz w:val="24"/>
                <w:szCs w:val="24"/>
              </w:rPr>
              <w:fldChar w:fldCharType="end"/>
            </w:r>
          </w:hyperlink>
        </w:p>
        <w:p w14:paraId="4E6B5755" w14:textId="0E0F6E18"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89" w:history="1">
            <w:r w:rsidR="007C7D07" w:rsidRPr="007C7D07">
              <w:rPr>
                <w:rStyle w:val="Hyperlink"/>
                <w:rFonts w:ascii="Arial" w:eastAsia="Times New Roman" w:hAnsi="Arial" w:cs="Arial"/>
                <w:noProof/>
                <w:sz w:val="24"/>
                <w:szCs w:val="24"/>
              </w:rPr>
              <w:t>2.1.5</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Índice de reprodução de cor</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_Toc149225889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11</w:t>
            </w:r>
            <w:r w:rsidR="007C7D07" w:rsidRPr="007C7D07">
              <w:rPr>
                <w:rFonts w:ascii="Arial" w:hAnsi="Arial" w:cs="Arial"/>
                <w:noProof/>
                <w:webHidden/>
                <w:sz w:val="24"/>
                <w:szCs w:val="24"/>
              </w:rPr>
              <w:fldChar w:fldCharType="end"/>
            </w:r>
          </w:hyperlink>
        </w:p>
        <w:p w14:paraId="07023A1D" w14:textId="1AB966D3" w:rsidR="007C7D07" w:rsidRPr="007C7D07" w:rsidRDefault="00CE4C79">
          <w:pPr>
            <w:pStyle w:val="Sumrio3"/>
            <w:tabs>
              <w:tab w:val="left" w:pos="1320"/>
              <w:tab w:val="right" w:leader="dot" w:pos="8494"/>
            </w:tabs>
            <w:rPr>
              <w:rFonts w:ascii="Arial" w:eastAsiaTheme="minorEastAsia" w:hAnsi="Arial" w:cs="Arial"/>
              <w:noProof/>
              <w:kern w:val="2"/>
              <w:sz w:val="24"/>
              <w:szCs w:val="24"/>
              <w:lang w:eastAsia="pt-BR"/>
              <w14:ligatures w14:val="standardContextual"/>
            </w:rPr>
          </w:pPr>
          <w:hyperlink w:anchor="_Toc149225890" w:history="1">
            <w:r w:rsidR="007C7D07" w:rsidRPr="007C7D07">
              <w:rPr>
                <w:rStyle w:val="Hyperlink"/>
                <w:rFonts w:ascii="Arial" w:eastAsia="Times New Roman" w:hAnsi="Arial" w:cs="Arial"/>
                <w:noProof/>
                <w:sz w:val="24"/>
                <w:szCs w:val="24"/>
              </w:rPr>
              <w:t>2.1.6</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eastAsia="Times New Roman" w:hAnsi="Arial" w:cs="Arial"/>
                <w:noProof/>
                <w:sz w:val="24"/>
                <w:szCs w:val="24"/>
              </w:rPr>
              <w:t>Poluição luminosa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_Toc149225890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12</w:t>
            </w:r>
            <w:r w:rsidR="007C7D07" w:rsidRPr="007C7D07">
              <w:rPr>
                <w:rFonts w:ascii="Arial" w:hAnsi="Arial" w:cs="Arial"/>
                <w:noProof/>
                <w:webHidden/>
                <w:sz w:val="24"/>
                <w:szCs w:val="24"/>
              </w:rPr>
              <w:fldChar w:fldCharType="end"/>
            </w:r>
          </w:hyperlink>
        </w:p>
        <w:p w14:paraId="7B7C2307" w14:textId="3B256171"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91" w:history="1">
            <w:r w:rsidR="007C7D07" w:rsidRPr="007C7D07">
              <w:rPr>
                <w:rStyle w:val="Hyperlink"/>
                <w:rFonts w:ascii="Arial" w:hAnsi="Arial" w:cs="Arial"/>
                <w:bCs/>
                <w:noProof/>
                <w:sz w:val="24"/>
                <w:szCs w:val="24"/>
              </w:rPr>
              <w:t>3.</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PRINCIPAIS COMPONENTES DO SISTEMA DE ILUMINAÇÃO PÚBLICA</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_Toc149225891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13</w:t>
            </w:r>
            <w:r w:rsidR="007C7D07" w:rsidRPr="007C7D07">
              <w:rPr>
                <w:rFonts w:ascii="Arial" w:hAnsi="Arial" w:cs="Arial"/>
                <w:noProof/>
                <w:webHidden/>
                <w:sz w:val="24"/>
                <w:szCs w:val="24"/>
              </w:rPr>
              <w:fldChar w:fldCharType="end"/>
            </w:r>
          </w:hyperlink>
        </w:p>
        <w:p w14:paraId="6458C218" w14:textId="69485820"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92" w:history="1">
            <w:r w:rsidR="007C7D07" w:rsidRPr="007C7D07">
              <w:rPr>
                <w:rStyle w:val="Hyperlink"/>
                <w:rFonts w:ascii="Arial" w:hAnsi="Arial" w:cs="Arial"/>
                <w:bCs/>
                <w:noProof/>
                <w:sz w:val="24"/>
                <w:szCs w:val="24"/>
              </w:rPr>
              <w:t>4.</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REQUISITOS BÁSICOS PARA ILUMINAÇÃO DE VIAS PÚBLICAS</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_Toc149225892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26</w:t>
            </w:r>
            <w:r w:rsidR="007C7D07" w:rsidRPr="007C7D07">
              <w:rPr>
                <w:rFonts w:ascii="Arial" w:hAnsi="Arial" w:cs="Arial"/>
                <w:noProof/>
                <w:webHidden/>
                <w:sz w:val="24"/>
                <w:szCs w:val="24"/>
              </w:rPr>
              <w:fldChar w:fldCharType="end"/>
            </w:r>
          </w:hyperlink>
        </w:p>
        <w:p w14:paraId="3C1B0AFB" w14:textId="7ED22173"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93" w:history="1">
            <w:r w:rsidR="007C7D07" w:rsidRPr="007C7D07">
              <w:rPr>
                <w:rStyle w:val="Hyperlink"/>
                <w:rFonts w:ascii="Arial" w:hAnsi="Arial" w:cs="Arial"/>
                <w:bCs/>
                <w:noProof/>
                <w:sz w:val="24"/>
                <w:szCs w:val="24"/>
              </w:rPr>
              <w:t>5.</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PROJETOS DE SISTEMAS DE ILUMINAÇÃO PÚBLICA EFICIENTES</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_Toc149225893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36</w:t>
            </w:r>
            <w:r w:rsidR="007C7D07" w:rsidRPr="007C7D07">
              <w:rPr>
                <w:rFonts w:ascii="Arial" w:hAnsi="Arial" w:cs="Arial"/>
                <w:noProof/>
                <w:webHidden/>
                <w:sz w:val="24"/>
                <w:szCs w:val="24"/>
              </w:rPr>
              <w:fldChar w:fldCharType="end"/>
            </w:r>
          </w:hyperlink>
        </w:p>
        <w:p w14:paraId="7481071D" w14:textId="67600785"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94" w:history="1">
            <w:r w:rsidR="007C7D07" w:rsidRPr="007C7D07">
              <w:rPr>
                <w:rStyle w:val="Hyperlink"/>
                <w:rFonts w:ascii="Arial" w:hAnsi="Arial" w:cs="Arial"/>
                <w:bCs/>
                <w:noProof/>
                <w:sz w:val="24"/>
                <w:szCs w:val="24"/>
              </w:rPr>
              <w:t>6.</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A CIDADE DE LIMOEIRO/PE</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_Toc149225894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45</w:t>
            </w:r>
            <w:r w:rsidR="007C7D07" w:rsidRPr="007C7D07">
              <w:rPr>
                <w:rFonts w:ascii="Arial" w:hAnsi="Arial" w:cs="Arial"/>
                <w:noProof/>
                <w:webHidden/>
                <w:sz w:val="24"/>
                <w:szCs w:val="24"/>
              </w:rPr>
              <w:fldChar w:fldCharType="end"/>
            </w:r>
          </w:hyperlink>
        </w:p>
        <w:p w14:paraId="14FACBC3" w14:textId="6864FB22"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895" w:history="1">
            <w:r w:rsidR="007C7D07" w:rsidRPr="007C7D07">
              <w:rPr>
                <w:rStyle w:val="Hyperlink"/>
                <w:rFonts w:ascii="Arial" w:hAnsi="Arial" w:cs="Arial"/>
                <w:bCs/>
                <w:noProof/>
                <w:sz w:val="24"/>
                <w:szCs w:val="24"/>
              </w:rPr>
              <w:t>7.</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NECESSIDADES ESPECIAIS DO PROJETO</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_Toc149225895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48</w:t>
            </w:r>
            <w:r w:rsidR="007C7D07" w:rsidRPr="007C7D07">
              <w:rPr>
                <w:rFonts w:ascii="Arial" w:hAnsi="Arial" w:cs="Arial"/>
                <w:noProof/>
                <w:webHidden/>
                <w:sz w:val="24"/>
                <w:szCs w:val="24"/>
              </w:rPr>
              <w:fldChar w:fldCharType="end"/>
            </w:r>
          </w:hyperlink>
        </w:p>
        <w:p w14:paraId="7467C4CA" w14:textId="27642788" w:rsidR="007C7D07" w:rsidRPr="007C7D07" w:rsidRDefault="00CE4C79">
          <w:pPr>
            <w:pStyle w:val="Sumrio2"/>
            <w:tabs>
              <w:tab w:val="left" w:pos="880"/>
              <w:tab w:val="right" w:leader="dot" w:pos="8494"/>
            </w:tabs>
            <w:rPr>
              <w:rFonts w:ascii="Arial" w:eastAsiaTheme="minorEastAsia" w:hAnsi="Arial" w:cs="Arial"/>
              <w:noProof/>
              <w:kern w:val="2"/>
              <w:sz w:val="24"/>
              <w:szCs w:val="24"/>
              <w:lang w:eastAsia="pt-BR"/>
              <w14:ligatures w14:val="standardContextual"/>
            </w:rPr>
          </w:pPr>
          <w:hyperlink w:anchor="_Toc149225896" w:history="1">
            <w:r w:rsidR="007C7D07" w:rsidRPr="007C7D07">
              <w:rPr>
                <w:rStyle w:val="Hyperlink"/>
                <w:rFonts w:ascii="Arial" w:hAnsi="Arial" w:cs="Arial"/>
                <w:noProof/>
                <w:sz w:val="24"/>
                <w:szCs w:val="24"/>
              </w:rPr>
              <w:t>7.1</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noProof/>
                <w:sz w:val="24"/>
                <w:szCs w:val="24"/>
              </w:rPr>
              <w:t>NIVEL BOLHA PREFERENCIALMENTE ACOPLADO OU TESTE FEITO POR FERRAMENTA EXTERNA E ANGULAÇÃO DAS LUMINÁRIAS</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_Toc149225896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48</w:t>
            </w:r>
            <w:r w:rsidR="007C7D07" w:rsidRPr="007C7D07">
              <w:rPr>
                <w:rFonts w:ascii="Arial" w:hAnsi="Arial" w:cs="Arial"/>
                <w:noProof/>
                <w:webHidden/>
                <w:sz w:val="24"/>
                <w:szCs w:val="24"/>
              </w:rPr>
              <w:fldChar w:fldCharType="end"/>
            </w:r>
          </w:hyperlink>
        </w:p>
        <w:p w14:paraId="4BF56820" w14:textId="1A2DB925" w:rsidR="007C7D07" w:rsidRPr="007C7D07" w:rsidRDefault="00CE4C79">
          <w:pPr>
            <w:pStyle w:val="Sumrio2"/>
            <w:tabs>
              <w:tab w:val="left" w:pos="880"/>
              <w:tab w:val="right" w:leader="dot" w:pos="8494"/>
            </w:tabs>
            <w:rPr>
              <w:rFonts w:ascii="Arial" w:eastAsiaTheme="minorEastAsia" w:hAnsi="Arial" w:cs="Arial"/>
              <w:noProof/>
              <w:kern w:val="2"/>
              <w:sz w:val="24"/>
              <w:szCs w:val="24"/>
              <w:lang w:eastAsia="pt-BR"/>
              <w14:ligatures w14:val="standardContextual"/>
            </w:rPr>
          </w:pPr>
          <w:hyperlink w:anchor="_Toc149225897" w:history="1">
            <w:r w:rsidR="007C7D07" w:rsidRPr="007C7D07">
              <w:rPr>
                <w:rStyle w:val="Hyperlink"/>
                <w:rFonts w:ascii="Arial" w:hAnsi="Arial" w:cs="Arial"/>
                <w:noProof/>
                <w:sz w:val="24"/>
                <w:szCs w:val="24"/>
              </w:rPr>
              <w:t>7.2</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noProof/>
                <w:sz w:val="24"/>
                <w:szCs w:val="24"/>
              </w:rPr>
              <w:t>FATOR DE POTÊNCIA FP≥0,97</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_Toc149225897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49</w:t>
            </w:r>
            <w:r w:rsidR="007C7D07" w:rsidRPr="007C7D07">
              <w:rPr>
                <w:rFonts w:ascii="Arial" w:hAnsi="Arial" w:cs="Arial"/>
                <w:noProof/>
                <w:webHidden/>
                <w:sz w:val="24"/>
                <w:szCs w:val="24"/>
              </w:rPr>
              <w:fldChar w:fldCharType="end"/>
            </w:r>
          </w:hyperlink>
        </w:p>
        <w:p w14:paraId="20A87F73" w14:textId="63A63368" w:rsidR="007C7D07" w:rsidRPr="007C7D07" w:rsidRDefault="00CE4C79">
          <w:pPr>
            <w:pStyle w:val="Sumrio2"/>
            <w:tabs>
              <w:tab w:val="left" w:pos="880"/>
              <w:tab w:val="right" w:leader="dot" w:pos="8494"/>
            </w:tabs>
            <w:rPr>
              <w:rFonts w:ascii="Arial" w:eastAsiaTheme="minorEastAsia" w:hAnsi="Arial" w:cs="Arial"/>
              <w:noProof/>
              <w:kern w:val="2"/>
              <w:sz w:val="24"/>
              <w:szCs w:val="24"/>
              <w:lang w:eastAsia="pt-BR"/>
              <w14:ligatures w14:val="standardContextual"/>
            </w:rPr>
          </w:pPr>
          <w:hyperlink w:anchor="_Toc149225898" w:history="1">
            <w:r w:rsidR="007C7D07" w:rsidRPr="007C7D07">
              <w:rPr>
                <w:rStyle w:val="Hyperlink"/>
                <w:rFonts w:ascii="Arial" w:hAnsi="Arial" w:cs="Arial"/>
                <w:noProof/>
                <w:sz w:val="24"/>
                <w:szCs w:val="24"/>
              </w:rPr>
              <w:t>7.3</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noProof/>
                <w:sz w:val="24"/>
                <w:szCs w:val="24"/>
              </w:rPr>
              <w:t>DA VIDA ÚTIL DE 70.000H</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_Toc149225898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50</w:t>
            </w:r>
            <w:r w:rsidR="007C7D07" w:rsidRPr="007C7D07">
              <w:rPr>
                <w:rFonts w:ascii="Arial" w:hAnsi="Arial" w:cs="Arial"/>
                <w:noProof/>
                <w:webHidden/>
                <w:sz w:val="24"/>
                <w:szCs w:val="24"/>
              </w:rPr>
              <w:fldChar w:fldCharType="end"/>
            </w:r>
          </w:hyperlink>
        </w:p>
        <w:p w14:paraId="7B2E20DC" w14:textId="48CD35B0" w:rsidR="007C7D07" w:rsidRPr="007C7D07" w:rsidRDefault="00CE4C79">
          <w:pPr>
            <w:pStyle w:val="Sumrio2"/>
            <w:tabs>
              <w:tab w:val="left" w:pos="880"/>
              <w:tab w:val="right" w:leader="dot" w:pos="8494"/>
            </w:tabs>
            <w:rPr>
              <w:rFonts w:ascii="Arial" w:eastAsiaTheme="minorEastAsia" w:hAnsi="Arial" w:cs="Arial"/>
              <w:noProof/>
              <w:kern w:val="2"/>
              <w:sz w:val="24"/>
              <w:szCs w:val="24"/>
              <w:lang w:eastAsia="pt-BR"/>
              <w14:ligatures w14:val="standardContextual"/>
            </w:rPr>
          </w:pPr>
          <w:hyperlink w:anchor="_Toc149225899" w:history="1">
            <w:r w:rsidR="007C7D07" w:rsidRPr="007C7D07">
              <w:rPr>
                <w:rStyle w:val="Hyperlink"/>
                <w:rFonts w:ascii="Arial" w:hAnsi="Arial" w:cs="Arial"/>
                <w:noProof/>
                <w:sz w:val="24"/>
                <w:szCs w:val="24"/>
              </w:rPr>
              <w:t>7.4</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noProof/>
                <w:sz w:val="24"/>
                <w:szCs w:val="24"/>
              </w:rPr>
              <w:t>SOLICITAÇÃO DE LUMINÁRIA COM VIDRO TEMPERADO</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_Toc149225899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51</w:t>
            </w:r>
            <w:r w:rsidR="007C7D07" w:rsidRPr="007C7D07">
              <w:rPr>
                <w:rFonts w:ascii="Arial" w:hAnsi="Arial" w:cs="Arial"/>
                <w:noProof/>
                <w:webHidden/>
                <w:sz w:val="24"/>
                <w:szCs w:val="24"/>
              </w:rPr>
              <w:fldChar w:fldCharType="end"/>
            </w:r>
          </w:hyperlink>
        </w:p>
        <w:p w14:paraId="33AFA011" w14:textId="07CE86CE" w:rsidR="007C7D07" w:rsidRPr="007C7D07" w:rsidRDefault="00CE4C79">
          <w:pPr>
            <w:pStyle w:val="Sumrio1"/>
            <w:tabs>
              <w:tab w:val="left" w:pos="440"/>
              <w:tab w:val="right" w:leader="dot" w:pos="8494"/>
            </w:tabs>
            <w:rPr>
              <w:rFonts w:ascii="Arial" w:eastAsiaTheme="minorEastAsia" w:hAnsi="Arial" w:cs="Arial"/>
              <w:noProof/>
              <w:kern w:val="2"/>
              <w:sz w:val="24"/>
              <w:szCs w:val="24"/>
              <w:lang w:eastAsia="pt-BR"/>
              <w14:ligatures w14:val="standardContextual"/>
            </w:rPr>
          </w:pPr>
          <w:hyperlink w:anchor="_Toc149225900" w:history="1">
            <w:r w:rsidR="007C7D07" w:rsidRPr="007C7D07">
              <w:rPr>
                <w:rStyle w:val="Hyperlink"/>
                <w:rFonts w:ascii="Arial" w:hAnsi="Arial" w:cs="Arial"/>
                <w:bCs/>
                <w:noProof/>
                <w:sz w:val="24"/>
                <w:szCs w:val="24"/>
              </w:rPr>
              <w:t>8.</w:t>
            </w:r>
            <w:r w:rsidR="007C7D07" w:rsidRPr="007C7D07">
              <w:rPr>
                <w:rFonts w:ascii="Arial" w:eastAsiaTheme="minorEastAsia" w:hAnsi="Arial" w:cs="Arial"/>
                <w:noProof/>
                <w:kern w:val="2"/>
                <w:sz w:val="24"/>
                <w:szCs w:val="24"/>
                <w:lang w:eastAsia="pt-BR"/>
                <w14:ligatures w14:val="standardContextual"/>
              </w:rPr>
              <w:tab/>
            </w:r>
            <w:r w:rsidR="007C7D07" w:rsidRPr="007C7D07">
              <w:rPr>
                <w:rStyle w:val="Hyperlink"/>
                <w:rFonts w:ascii="Arial" w:hAnsi="Arial" w:cs="Arial"/>
                <w:bCs/>
                <w:noProof/>
                <w:sz w:val="24"/>
                <w:szCs w:val="24"/>
              </w:rPr>
              <w:t>DA MEMÓRIA DE CÁLCULO DOS TEMPOS DE EXECUÇÃO</w:t>
            </w:r>
            <w:r w:rsidR="007C7D07" w:rsidRPr="007C7D07">
              <w:rPr>
                <w:rFonts w:ascii="Arial" w:hAnsi="Arial" w:cs="Arial"/>
                <w:noProof/>
                <w:webHidden/>
                <w:sz w:val="24"/>
                <w:szCs w:val="24"/>
              </w:rPr>
              <w:tab/>
            </w:r>
            <w:r w:rsidR="007C7D07" w:rsidRPr="007C7D07">
              <w:rPr>
                <w:rFonts w:ascii="Arial" w:hAnsi="Arial" w:cs="Arial"/>
                <w:noProof/>
                <w:webHidden/>
                <w:sz w:val="24"/>
                <w:szCs w:val="24"/>
              </w:rPr>
              <w:fldChar w:fldCharType="begin"/>
            </w:r>
            <w:r w:rsidR="007C7D07" w:rsidRPr="007C7D07">
              <w:rPr>
                <w:rFonts w:ascii="Arial" w:hAnsi="Arial" w:cs="Arial"/>
                <w:noProof/>
                <w:webHidden/>
                <w:sz w:val="24"/>
                <w:szCs w:val="24"/>
              </w:rPr>
              <w:instrText xml:space="preserve"> PAGEREF _Toc149225900 \h </w:instrText>
            </w:r>
            <w:r w:rsidR="007C7D07" w:rsidRPr="007C7D07">
              <w:rPr>
                <w:rFonts w:ascii="Arial" w:hAnsi="Arial" w:cs="Arial"/>
                <w:noProof/>
                <w:webHidden/>
                <w:sz w:val="24"/>
                <w:szCs w:val="24"/>
              </w:rPr>
            </w:r>
            <w:r w:rsidR="007C7D07" w:rsidRPr="007C7D07">
              <w:rPr>
                <w:rFonts w:ascii="Arial" w:hAnsi="Arial" w:cs="Arial"/>
                <w:noProof/>
                <w:webHidden/>
                <w:sz w:val="24"/>
                <w:szCs w:val="24"/>
              </w:rPr>
              <w:fldChar w:fldCharType="separate"/>
            </w:r>
            <w:r w:rsidR="007C7D07" w:rsidRPr="007C7D07">
              <w:rPr>
                <w:rFonts w:ascii="Arial" w:hAnsi="Arial" w:cs="Arial"/>
                <w:noProof/>
                <w:webHidden/>
                <w:sz w:val="24"/>
                <w:szCs w:val="24"/>
              </w:rPr>
              <w:t>52</w:t>
            </w:r>
            <w:r w:rsidR="007C7D07" w:rsidRPr="007C7D07">
              <w:rPr>
                <w:rFonts w:ascii="Arial" w:hAnsi="Arial" w:cs="Arial"/>
                <w:noProof/>
                <w:webHidden/>
                <w:sz w:val="24"/>
                <w:szCs w:val="24"/>
              </w:rPr>
              <w:fldChar w:fldCharType="end"/>
            </w:r>
          </w:hyperlink>
        </w:p>
        <w:p w14:paraId="2FEFDC63" w14:textId="739C87A9" w:rsidR="00FA2D96" w:rsidRPr="001424C1" w:rsidRDefault="00FA2D96">
          <w:pPr>
            <w:rPr>
              <w:rFonts w:ascii="Arial" w:hAnsi="Arial" w:cs="Arial"/>
              <w:sz w:val="24"/>
              <w:szCs w:val="24"/>
            </w:rPr>
          </w:pPr>
          <w:r w:rsidRPr="007C7D07">
            <w:rPr>
              <w:rFonts w:ascii="Arial" w:hAnsi="Arial" w:cs="Arial"/>
              <w:b/>
              <w:bCs/>
              <w:sz w:val="24"/>
              <w:szCs w:val="24"/>
            </w:rPr>
            <w:fldChar w:fldCharType="end"/>
          </w:r>
        </w:p>
      </w:sdtContent>
    </w:sdt>
    <w:p w14:paraId="693A7A7E" w14:textId="305E8B75" w:rsidR="00FA2D96" w:rsidRPr="00C44B09" w:rsidRDefault="00FA2D96" w:rsidP="00FF0850">
      <w:pPr>
        <w:jc w:val="center"/>
        <w:rPr>
          <w:rFonts w:ascii="Arial" w:hAnsi="Arial" w:cs="Arial"/>
          <w:b/>
          <w:sz w:val="24"/>
          <w:szCs w:val="24"/>
          <w:u w:val="single"/>
        </w:rPr>
        <w:sectPr w:rsidR="00FA2D96" w:rsidRPr="00C44B09" w:rsidSect="00220F47">
          <w:pgSz w:w="11906" w:h="16838"/>
          <w:pgMar w:top="1417" w:right="1701" w:bottom="1417" w:left="1701" w:header="708" w:footer="708" w:gutter="0"/>
          <w:cols w:space="708"/>
          <w:docGrid w:linePitch="360"/>
        </w:sectPr>
      </w:pPr>
    </w:p>
    <w:p w14:paraId="2DB4F1D4" w14:textId="7A9FA7B3" w:rsidR="007E31DA" w:rsidRPr="00C44B09" w:rsidRDefault="007E31DA" w:rsidP="00CB6EDA">
      <w:pPr>
        <w:pStyle w:val="Ttulo1"/>
        <w:numPr>
          <w:ilvl w:val="0"/>
          <w:numId w:val="20"/>
        </w:numPr>
        <w:spacing w:before="360" w:after="120"/>
        <w:ind w:left="993"/>
        <w:rPr>
          <w:rFonts w:cs="Arial"/>
          <w:bCs/>
          <w:sz w:val="24"/>
          <w:szCs w:val="24"/>
        </w:rPr>
      </w:pPr>
      <w:bookmarkStart w:id="1" w:name="_Toc34225738"/>
      <w:bookmarkStart w:id="2" w:name="_Toc149225882"/>
      <w:r w:rsidRPr="00C44B09">
        <w:rPr>
          <w:rFonts w:cs="Arial"/>
          <w:bCs/>
          <w:sz w:val="24"/>
          <w:szCs w:val="24"/>
        </w:rPr>
        <w:lastRenderedPageBreak/>
        <w:t>LEGISLAÇÃO SOBRE ILUMINAÇÃO PÚBLICA</w:t>
      </w:r>
      <w:bookmarkEnd w:id="1"/>
      <w:bookmarkEnd w:id="2"/>
    </w:p>
    <w:p w14:paraId="11AE0AAA" w14:textId="37743892" w:rsidR="007E31DA" w:rsidRPr="00C44B09" w:rsidRDefault="007E31DA" w:rsidP="00FA2D96">
      <w:pPr>
        <w:rPr>
          <w:rFonts w:ascii="Arial" w:hAnsi="Arial" w:cs="Arial"/>
          <w:b/>
          <w:bCs/>
          <w:sz w:val="24"/>
          <w:szCs w:val="24"/>
        </w:rPr>
      </w:pPr>
      <w:bookmarkStart w:id="3" w:name="_Toc34225739"/>
      <w:r w:rsidRPr="00C44B09">
        <w:rPr>
          <w:rFonts w:ascii="Arial" w:hAnsi="Arial" w:cs="Arial"/>
          <w:b/>
          <w:bCs/>
          <w:sz w:val="24"/>
          <w:szCs w:val="24"/>
        </w:rPr>
        <w:t>INTRODUÇÃO</w:t>
      </w:r>
      <w:bookmarkEnd w:id="3"/>
      <w:r w:rsidRPr="00C44B09">
        <w:rPr>
          <w:rFonts w:ascii="Arial" w:hAnsi="Arial" w:cs="Arial"/>
          <w:b/>
          <w:bCs/>
          <w:sz w:val="24"/>
          <w:szCs w:val="24"/>
        </w:rPr>
        <w:t xml:space="preserve"> </w:t>
      </w:r>
    </w:p>
    <w:p w14:paraId="79816D42" w14:textId="0EE739C5"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iluminação pública é um serviço essencial para os centros urbanos, por contribuir para a segurança da população e para o tráfego de veículos. Além de iluminar ruas, avenidas, praças, monumentos históricos e demais logradouros públicos, se constitui num importante fator para melhoria da imagem das cidades, favorecendo o comércio, o turismo e o lazer.  </w:t>
      </w:r>
    </w:p>
    <w:p w14:paraId="7549650D" w14:textId="579FE83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Do ponto de vista constitucional, a prestação dos serviços públicos de interesse local - nos quais se insere a iluminação pública -, é de competência dos Municípios. Por se tratar, também, de um serviço que requer o fornecimento de energia elétrica, está submetido, nesse particular, à legislação federal.  </w:t>
      </w:r>
    </w:p>
    <w:p w14:paraId="1BB6891A" w14:textId="2C9BB7C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Em dezembro de 2014 findou o prazo para que as empresas distribuidoras de energia elétrica transferissem todos os ativos da iluminação pública para os respectivos municípios (prefeituras municipais). </w:t>
      </w:r>
    </w:p>
    <w:p w14:paraId="44B67B25" w14:textId="6CE54F09"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Apesar de haver ainda algumas disputas jurídicas sobre essa transferência, a grande maioria dos municípios brasileiros vem, de uma forma ou outra, se capacitando para poder gerir a iluminação pública. Infelizmente o que se vê, na maioria dos municípios brasileiros, é um verdadeiro caos. Falta preparo técnico e gerencial. </w:t>
      </w:r>
    </w:p>
    <w:p w14:paraId="279F05F9" w14:textId="4D9B6B2A" w:rsidR="007E31DA" w:rsidRPr="00C44B09" w:rsidRDefault="007E31DA" w:rsidP="00FA2D96">
      <w:pPr>
        <w:rPr>
          <w:rFonts w:ascii="Arial" w:hAnsi="Arial" w:cs="Arial"/>
          <w:b/>
          <w:bCs/>
          <w:sz w:val="24"/>
          <w:szCs w:val="24"/>
        </w:rPr>
      </w:pPr>
      <w:bookmarkStart w:id="4" w:name="_Toc34225740"/>
      <w:r w:rsidRPr="00C44B09">
        <w:rPr>
          <w:rFonts w:ascii="Arial" w:hAnsi="Arial" w:cs="Arial"/>
          <w:b/>
          <w:bCs/>
          <w:sz w:val="24"/>
          <w:szCs w:val="24"/>
        </w:rPr>
        <w:t>A ILUMINAÇÃO PÚBLICA COMO UM SERVIÇO DE COMPETÊNCIA MUNICIPAL</w:t>
      </w:r>
      <w:bookmarkEnd w:id="4"/>
      <w:r w:rsidRPr="00C44B09">
        <w:rPr>
          <w:rFonts w:ascii="Arial" w:hAnsi="Arial" w:cs="Arial"/>
          <w:b/>
          <w:bCs/>
          <w:sz w:val="24"/>
          <w:szCs w:val="24"/>
        </w:rPr>
        <w:t xml:space="preserve">  </w:t>
      </w:r>
    </w:p>
    <w:p w14:paraId="1AB4D888" w14:textId="34160A00"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Constituição Federal do Brasil, no seu artigo 30, inciso V, estabelece que compete aos Municípios “organizar e prestar, diretamente ou sob regime de concessão ou permissão, os serviços públicos de interesse local”.   Baseado nesse preceito, e considerando que a iluminação pública é um serviço público, predominantemente, de interesse local, a sua organização e prestação é, portanto, de competência do Município.  </w:t>
      </w:r>
    </w:p>
    <w:p w14:paraId="26E3A04A" w14:textId="1E6E1C2B"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serviço de iluminação pública é de peculiar interesse do Município e a este compete, por não ter sido reservado à União, no nosso ordenamento jurídico”. (MEIRELLES, 1988, pg. 266). </w:t>
      </w:r>
    </w:p>
    <w:p w14:paraId="05890A48" w14:textId="4C8A740C"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No caso da iluminação pública não se utiliza o contrato de concessão para sua exploração, considerando que a remuneração por meio da cobrança individual de tarifas aos usuários é impraticável, pelo fato de ser um serviço usufruído genérica e compulsoriamente por toda a população. </w:t>
      </w:r>
    </w:p>
    <w:p w14:paraId="6B2AB087" w14:textId="004F8EE0" w:rsidR="007E31DA" w:rsidRPr="00C44B09" w:rsidRDefault="007E31DA" w:rsidP="0059157D">
      <w:pPr>
        <w:jc w:val="both"/>
        <w:rPr>
          <w:rFonts w:ascii="Arial" w:hAnsi="Arial" w:cs="Arial"/>
          <w:sz w:val="24"/>
          <w:szCs w:val="24"/>
        </w:rPr>
      </w:pPr>
      <w:r w:rsidRPr="00C44B09">
        <w:rPr>
          <w:rFonts w:ascii="Arial" w:hAnsi="Arial" w:cs="Arial"/>
          <w:sz w:val="24"/>
          <w:szCs w:val="24"/>
        </w:rPr>
        <w:t>Entretanto, as atividades de projeto, implantação, expansão, operação e manutenção, podem ser prestadas diretamente por órgão ou empresa pública</w:t>
      </w:r>
      <w:r w:rsidR="004E4D2D" w:rsidRPr="00C44B09">
        <w:rPr>
          <w:rFonts w:ascii="Arial" w:hAnsi="Arial" w:cs="Arial"/>
          <w:sz w:val="24"/>
          <w:szCs w:val="24"/>
        </w:rPr>
        <w:t xml:space="preserve"> </w:t>
      </w:r>
      <w:r w:rsidRPr="00C44B09">
        <w:rPr>
          <w:rFonts w:ascii="Arial" w:hAnsi="Arial" w:cs="Arial"/>
          <w:sz w:val="24"/>
          <w:szCs w:val="24"/>
        </w:rPr>
        <w:lastRenderedPageBreak/>
        <w:t xml:space="preserve">municipal, e mediante contrato administrativo, por concessionárias de energia elétrica ou empresas de engenharia. </w:t>
      </w:r>
    </w:p>
    <w:p w14:paraId="5C8FEAF2" w14:textId="3618D4FB"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Em muitos casos, as prefeituras instituem a cobrança de uma contribuição aos consumidores de energia elétrica e aos proprietários de terrenos urbanos, para cobertura dos custos de manutenção do sistema de iluminação pública. Mesmo se constituindo numa fonte específica de receita para o Município, a cobrança dessa taxa, geralmente conhecida como Contribuição para Custeio do Serviço de Iluminação Pública ou CIP/COSIP, tem enfrentado contestações jurídicas sobre sua legalidade. </w:t>
      </w:r>
    </w:p>
    <w:p w14:paraId="18351C16" w14:textId="71AF73FA" w:rsidR="007E31DA" w:rsidRPr="00C44B09" w:rsidRDefault="007E31DA" w:rsidP="00FA2D96">
      <w:pPr>
        <w:rPr>
          <w:rFonts w:ascii="Arial" w:hAnsi="Arial" w:cs="Arial"/>
          <w:b/>
          <w:bCs/>
          <w:sz w:val="24"/>
          <w:szCs w:val="24"/>
        </w:rPr>
      </w:pPr>
      <w:bookmarkStart w:id="5" w:name="_Toc34225741"/>
      <w:r w:rsidRPr="00C44B09">
        <w:rPr>
          <w:rFonts w:ascii="Arial" w:hAnsi="Arial" w:cs="Arial"/>
          <w:b/>
          <w:bCs/>
          <w:sz w:val="24"/>
          <w:szCs w:val="24"/>
        </w:rPr>
        <w:t>Fiscalização do Serviço de Iluminação Pública</w:t>
      </w:r>
      <w:bookmarkEnd w:id="5"/>
      <w:r w:rsidRPr="00C44B09">
        <w:rPr>
          <w:rFonts w:ascii="Arial" w:hAnsi="Arial" w:cs="Arial"/>
          <w:b/>
          <w:bCs/>
          <w:sz w:val="24"/>
          <w:szCs w:val="24"/>
        </w:rPr>
        <w:t xml:space="preserve"> </w:t>
      </w:r>
    </w:p>
    <w:p w14:paraId="4883271F" w14:textId="32424BCC"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As prefeituras devem adotar um adequado sistema de fiscalização, estabelecendo métodos eficazes de controle para assegurar a qualidade do serviço de iluminação pública, tanto no caso de sua prestação direta, quanto nos casos de contratos com concessionárias de energia elétrica ou empresas de engenharia. </w:t>
      </w:r>
    </w:p>
    <w:p w14:paraId="6A80B3C4" w14:textId="34629A8A"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Ao Município, compete, também, definir a sua política de iluminação pública, planejar o sistema de iluminação pública, definir padrões técnicos e implementar programas de combate ao desperdício de energia elétrica com a utilização de equipamentos energeticamente eficientes. </w:t>
      </w:r>
    </w:p>
    <w:p w14:paraId="667D486F"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Município não pode, validamente, abdicar dos seus poderes de definição da política de iluminação pública, e, em se tratando de contrato, não pode abster-se também do seu dever de orientar e fiscalizar a execução do serviço”. (MEIRELLES, 1988, pg. 268). </w:t>
      </w:r>
    </w:p>
    <w:p w14:paraId="6F50A92E" w14:textId="6753720B" w:rsidR="007E31DA" w:rsidRPr="00C44B09" w:rsidRDefault="007E31DA" w:rsidP="00FA2D96">
      <w:pPr>
        <w:rPr>
          <w:rFonts w:ascii="Arial" w:hAnsi="Arial" w:cs="Arial"/>
          <w:b/>
          <w:bCs/>
          <w:sz w:val="24"/>
          <w:szCs w:val="24"/>
        </w:rPr>
      </w:pPr>
      <w:bookmarkStart w:id="6" w:name="_Toc34225742"/>
      <w:r w:rsidRPr="00C44B09">
        <w:rPr>
          <w:rFonts w:ascii="Arial" w:hAnsi="Arial" w:cs="Arial"/>
          <w:b/>
          <w:bCs/>
          <w:sz w:val="24"/>
          <w:szCs w:val="24"/>
        </w:rPr>
        <w:t>LEGISLAÇÃO SOBRE O FORNECIMENTO DE ENERGIA ELÉTRICA PARA ILUMINAÇÃO PÚBLICA</w:t>
      </w:r>
      <w:bookmarkEnd w:id="6"/>
      <w:r w:rsidRPr="00C44B09">
        <w:rPr>
          <w:rFonts w:ascii="Arial" w:hAnsi="Arial" w:cs="Arial"/>
          <w:b/>
          <w:bCs/>
          <w:sz w:val="24"/>
          <w:szCs w:val="24"/>
        </w:rPr>
        <w:t xml:space="preserve"> </w:t>
      </w:r>
    </w:p>
    <w:p w14:paraId="04774845" w14:textId="7D3BEB29"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Agência Nacional de Energia Elétrica - ANEEL, constituída em 06 de outubro de 1997, através do Decreto 2.335, é o órgão regulador e fiscalizador dos serviços de energia elétrica no Brasil. A ANEEL passou a funcionar a partir do dia 02 de dezembro de 1997, em substituição ao Departamento Nacional de Águas e Energia Elétrica – DNAEE. </w:t>
      </w:r>
    </w:p>
    <w:p w14:paraId="6F1C2A99" w14:textId="7EB9871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Resolução 456 da ANEEL regulamentou as condições de fornecimento de energia elétrica para iluminação pública, e as condições gerais de fornecimento e o relacionamento entre concessionárias de serviço público de energia elétrica e seus consumidores.  </w:t>
      </w:r>
    </w:p>
    <w:p w14:paraId="269B1DE1" w14:textId="2E807FA8"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Essa Resolução, publicada em 29 de novembro de 2000 era, especificamente, o instrumento legal que estabelecia as condições a serem observadas no fornecimento de energia elétrica destinado a iluminação pública. </w:t>
      </w:r>
    </w:p>
    <w:p w14:paraId="582E9AD2" w14:textId="1C4396F7" w:rsidR="007E31DA" w:rsidRPr="00C44B09" w:rsidRDefault="007E31DA" w:rsidP="0059157D">
      <w:pPr>
        <w:jc w:val="both"/>
        <w:rPr>
          <w:rFonts w:ascii="Arial" w:hAnsi="Arial" w:cs="Arial"/>
          <w:sz w:val="24"/>
          <w:szCs w:val="24"/>
        </w:rPr>
      </w:pPr>
      <w:r w:rsidRPr="00C44B09">
        <w:rPr>
          <w:rFonts w:ascii="Arial" w:hAnsi="Arial" w:cs="Arial"/>
          <w:sz w:val="24"/>
          <w:szCs w:val="24"/>
        </w:rPr>
        <w:lastRenderedPageBreak/>
        <w:t>Ela apresentava vários artigos que envolviam o relacionamento entre as PMs e a concessionária de energia elétrica e sua publicação veio a revogar as antigas</w:t>
      </w:r>
      <w:r w:rsidR="004E4D2D" w:rsidRPr="00C44B09">
        <w:rPr>
          <w:rFonts w:ascii="Arial" w:hAnsi="Arial" w:cs="Arial"/>
          <w:sz w:val="24"/>
          <w:szCs w:val="24"/>
        </w:rPr>
        <w:t xml:space="preserve"> </w:t>
      </w:r>
      <w:r w:rsidRPr="00C44B09">
        <w:rPr>
          <w:rFonts w:ascii="Arial" w:hAnsi="Arial" w:cs="Arial"/>
          <w:sz w:val="24"/>
          <w:szCs w:val="24"/>
        </w:rPr>
        <w:t xml:space="preserve">Portaria DNAEE Nº 158, de 17 de outubro de 1989 e a Portaria DNAEE Nº 466, editada em 12 de novembro de 1997, dentre outras. </w:t>
      </w:r>
    </w:p>
    <w:p w14:paraId="0EF65211" w14:textId="680337FA"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Atualmente os principais assuntos de interesse das prefeituras municipais no que diz respeito à iluminação pública, estão contidos na Resolução ANEEL 414/2010, que substituiu a Resolução 456. </w:t>
      </w:r>
    </w:p>
    <w:p w14:paraId="1EDB9DF6" w14:textId="4F39982F" w:rsidR="0059157D" w:rsidRPr="00C44B09" w:rsidRDefault="007E31DA" w:rsidP="0059157D">
      <w:pPr>
        <w:jc w:val="both"/>
        <w:rPr>
          <w:rFonts w:ascii="Arial" w:hAnsi="Arial" w:cs="Arial"/>
          <w:sz w:val="24"/>
          <w:szCs w:val="24"/>
        </w:rPr>
      </w:pPr>
      <w:r w:rsidRPr="00C44B09">
        <w:rPr>
          <w:rFonts w:ascii="Arial" w:hAnsi="Arial" w:cs="Arial"/>
          <w:sz w:val="24"/>
          <w:szCs w:val="24"/>
        </w:rPr>
        <w:t xml:space="preserve">Por meio do Artigo 218 da Resolução Normativa 414/2010, determinou-se a transferência do sistema de iluminação pública das concessionárias de energia elétrica para a pessoa jurídica de direito público competente, ou seja, as Prefeituras Municipais.  </w:t>
      </w:r>
    </w:p>
    <w:p w14:paraId="6A47AF6C" w14:textId="41604B2B" w:rsidR="007E31DA" w:rsidRPr="00C44B09" w:rsidRDefault="007E31DA" w:rsidP="00FA2D96">
      <w:pPr>
        <w:rPr>
          <w:rFonts w:ascii="Arial" w:hAnsi="Arial" w:cs="Arial"/>
          <w:b/>
          <w:bCs/>
          <w:sz w:val="24"/>
          <w:szCs w:val="24"/>
        </w:rPr>
      </w:pPr>
      <w:bookmarkStart w:id="7" w:name="_Toc34225743"/>
      <w:r w:rsidRPr="00C44B09">
        <w:rPr>
          <w:rFonts w:ascii="Arial" w:hAnsi="Arial" w:cs="Arial"/>
          <w:b/>
          <w:bCs/>
          <w:sz w:val="24"/>
          <w:szCs w:val="24"/>
        </w:rPr>
        <w:t>CONCEITUAÇÃO DO SERVIÇO DE ILUMINAÇÃO PÚBLICA</w:t>
      </w:r>
      <w:bookmarkEnd w:id="7"/>
      <w:r w:rsidRPr="00C44B09">
        <w:rPr>
          <w:rFonts w:ascii="Arial" w:hAnsi="Arial" w:cs="Arial"/>
          <w:b/>
          <w:bCs/>
          <w:sz w:val="24"/>
          <w:szCs w:val="24"/>
        </w:rPr>
        <w:t xml:space="preserve"> </w:t>
      </w:r>
    </w:p>
    <w:p w14:paraId="5B219FE5"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Em sua conceituação clássica, iluminação pública é definida na Resolução ANEEL 414/2010 nos seguintes termos: </w:t>
      </w:r>
    </w:p>
    <w:p w14:paraId="33FFEFFB" w14:textId="4546642F"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“Iluminação Pública é o serviço que tem por objetivo exclusivo prover de claridade os logradouros públicos, de forma periódica, contínua ou eventual”.  </w:t>
      </w:r>
    </w:p>
    <w:p w14:paraId="7CA63736" w14:textId="56779971"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Instalações de iluminação pública é o conjunto de equipamentos utilizados exclusivamente na prestação do serviço de iluminação pública. </w:t>
      </w:r>
    </w:p>
    <w:p w14:paraId="0FA11A51" w14:textId="0FCAF3C9" w:rsidR="007E31DA" w:rsidRPr="00C44B09" w:rsidRDefault="007E31DA" w:rsidP="00FA2D96">
      <w:pPr>
        <w:rPr>
          <w:rFonts w:ascii="Arial" w:hAnsi="Arial" w:cs="Arial"/>
          <w:b/>
          <w:bCs/>
          <w:sz w:val="24"/>
          <w:szCs w:val="24"/>
        </w:rPr>
      </w:pPr>
      <w:bookmarkStart w:id="8" w:name="_Toc34225744"/>
      <w:r w:rsidRPr="00C44B09">
        <w:rPr>
          <w:rFonts w:ascii="Arial" w:hAnsi="Arial" w:cs="Arial"/>
          <w:b/>
          <w:bCs/>
          <w:sz w:val="24"/>
          <w:szCs w:val="24"/>
        </w:rPr>
        <w:t>PONTO DE ENTREGA DE ENERGIA ELÉTRICA PARA ILUMINAÇÃO PÚBLICA</w:t>
      </w:r>
      <w:bookmarkEnd w:id="8"/>
      <w:r w:rsidRPr="00C44B09">
        <w:rPr>
          <w:rFonts w:ascii="Arial" w:hAnsi="Arial" w:cs="Arial"/>
          <w:b/>
          <w:bCs/>
          <w:sz w:val="24"/>
          <w:szCs w:val="24"/>
        </w:rPr>
        <w:t xml:space="preserve"> </w:t>
      </w:r>
    </w:p>
    <w:p w14:paraId="327B471B"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De acordo com a Resolução 414/2010 o ponto de entrega quando se tratar de ativos de iluminação pública será a conexão da rede elétrica de distribuição da concessionária com as instalações elétricas de iluminação pública. A Figura 1.1 ilustra o local do ponto de entrega.</w:t>
      </w:r>
    </w:p>
    <w:p w14:paraId="1AE395A0" w14:textId="77777777" w:rsidR="004E4D2D" w:rsidRPr="00C44B09" w:rsidRDefault="007E31DA" w:rsidP="0059157D">
      <w:pPr>
        <w:jc w:val="both"/>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2A5A084C" wp14:editId="5AFD0514">
            <wp:extent cx="4667250" cy="3286125"/>
            <wp:effectExtent l="0" t="0" r="0" b="9525"/>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7250" cy="3286125"/>
                    </a:xfrm>
                    <a:prstGeom prst="rect">
                      <a:avLst/>
                    </a:prstGeom>
                    <a:noFill/>
                    <a:ln>
                      <a:noFill/>
                    </a:ln>
                  </pic:spPr>
                </pic:pic>
              </a:graphicData>
            </a:graphic>
          </wp:inline>
        </w:drawing>
      </w:r>
      <w:r w:rsidR="004E4D2D" w:rsidRPr="00C44B09">
        <w:rPr>
          <w:rFonts w:ascii="Arial" w:hAnsi="Arial" w:cs="Arial"/>
          <w:sz w:val="24"/>
          <w:szCs w:val="24"/>
        </w:rPr>
        <w:tab/>
      </w:r>
    </w:p>
    <w:p w14:paraId="3E639AB2" w14:textId="1EA3DFBC"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As concessionárias devem participar, até o ponto de entrega, dos investimentos feitos para atender o serviço de iluminação pública padronizada, nos limites por eles calculados, de acordo com critérios definidos pela ANEEL. </w:t>
      </w:r>
    </w:p>
    <w:p w14:paraId="0E3267DF" w14:textId="6E5690D6" w:rsidR="007E31DA" w:rsidRPr="00C44B09" w:rsidRDefault="007E31DA" w:rsidP="00FA2D96">
      <w:pPr>
        <w:rPr>
          <w:rFonts w:ascii="Arial" w:hAnsi="Arial" w:cs="Arial"/>
          <w:b/>
          <w:bCs/>
          <w:sz w:val="24"/>
          <w:szCs w:val="24"/>
        </w:rPr>
      </w:pPr>
      <w:bookmarkStart w:id="9" w:name="_Toc34225745"/>
      <w:r w:rsidRPr="00C44B09">
        <w:rPr>
          <w:rFonts w:ascii="Arial" w:hAnsi="Arial" w:cs="Arial"/>
          <w:b/>
          <w:bCs/>
          <w:sz w:val="24"/>
          <w:szCs w:val="24"/>
        </w:rPr>
        <w:t>TARIFAS DE CONSUMO DE ENERGIA ELÉTRICA NA ILUMINAÇÃO PÚBLICA</w:t>
      </w:r>
      <w:bookmarkEnd w:id="9"/>
      <w:r w:rsidRPr="00C44B09">
        <w:rPr>
          <w:rFonts w:ascii="Arial" w:hAnsi="Arial" w:cs="Arial"/>
          <w:b/>
          <w:bCs/>
          <w:sz w:val="24"/>
          <w:szCs w:val="24"/>
        </w:rPr>
        <w:t xml:space="preserve"> </w:t>
      </w:r>
    </w:p>
    <w:p w14:paraId="3EC79B3F" w14:textId="45CC76C4"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aplicação das tarifas deve observar as classes e subclasses estabelecidas no Artigo 5º da Resolução 414/2010. Essa resolução define que a Iluminação Pública participa da Classe Poder Público, do subgrupo B4, do grupo tarifário B. </w:t>
      </w:r>
    </w:p>
    <w:p w14:paraId="0A9B936F"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classe iluminação pública, de responsabilidade de pessoa jurídica de direito público ou por esta delegada mediante concessão ou autorização, caracteriza-se pelo fornecimento para iluminação de ruas, praças, avenidas, túneis, passagens subterrâneas, jardins, vias, estradas, passarelas, abrigos de usuários de transportes coletivos, logradouros de uso comum e livre acesso, inclusive a iluminação de monumentos, fachadas, fontes luminosas e obras de arte de valor histórico, cultural ou ambiental, localizadas em áreas públicas e definidas por meio de legislação específica, exceto o fornecimento de energia elétrica que tenha por objetivo qualquer forma de propaganda ou publicidade, ou para realização de atividades que visem a interesses econômicos. </w:t>
      </w:r>
    </w:p>
    <w:p w14:paraId="0D73D11C"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Logo a tarifa aplicável ao fornecimento de energia elétrica para iluminação pública é a Tarifa B4a. </w:t>
      </w:r>
    </w:p>
    <w:p w14:paraId="2F29D319" w14:textId="4FF509C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Faturamento do Consumo de Energia Elétrica na Iluminação Pública </w:t>
      </w:r>
    </w:p>
    <w:p w14:paraId="72943B33" w14:textId="06850990" w:rsidR="007E31DA" w:rsidRPr="00C44B09" w:rsidRDefault="007E31DA" w:rsidP="0059157D">
      <w:pPr>
        <w:jc w:val="both"/>
        <w:rPr>
          <w:rFonts w:ascii="Arial" w:hAnsi="Arial" w:cs="Arial"/>
          <w:sz w:val="24"/>
          <w:szCs w:val="24"/>
        </w:rPr>
      </w:pPr>
      <w:r w:rsidRPr="00C44B09">
        <w:rPr>
          <w:rFonts w:ascii="Arial" w:hAnsi="Arial" w:cs="Arial"/>
          <w:sz w:val="24"/>
          <w:szCs w:val="24"/>
        </w:rPr>
        <w:lastRenderedPageBreak/>
        <w:t xml:space="preserve">A concessionária não é obrigada a instalar equipamentos de medição no fornecimento para iluminação pública. Nesse caso, os valores de consumo de energia elétrica e/ou demanda de potência ativas serão estimados, para fins de faturamento, com base no período de consumo e na carga instalada, incluída a carga própria dos equipamentos auxiliares (reator/ignitor). </w:t>
      </w:r>
    </w:p>
    <w:p w14:paraId="3BAFFA8E" w14:textId="38CC8CDD"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Para fins de faturamento da energia elétrica destinada à iluminação pública ou à iluminação de vias internas de condomínios, o tempo a ser considerado para consumo diário deve ser de 11 (onze) horas e 52 (cinquenta e dois) minutos, ressalvado o caso de logradouros que necessitem de iluminação permanente, em que o tempo é de 24 (vinte e quatro) horas por dia do período de fornecimento. </w:t>
      </w:r>
    </w:p>
    <w:p w14:paraId="692BEA22" w14:textId="6DD0E6EB" w:rsidR="007E31DA" w:rsidRPr="00C44B09" w:rsidRDefault="007E31DA" w:rsidP="00FA2D96">
      <w:pPr>
        <w:rPr>
          <w:rFonts w:ascii="Arial" w:hAnsi="Arial" w:cs="Arial"/>
          <w:b/>
          <w:bCs/>
          <w:sz w:val="24"/>
          <w:szCs w:val="24"/>
        </w:rPr>
      </w:pPr>
      <w:bookmarkStart w:id="10" w:name="_Toc34225746"/>
      <w:r w:rsidRPr="00C44B09">
        <w:rPr>
          <w:rFonts w:ascii="Arial" w:hAnsi="Arial" w:cs="Arial"/>
          <w:b/>
          <w:bCs/>
          <w:sz w:val="24"/>
          <w:szCs w:val="24"/>
        </w:rPr>
        <w:t>REDUÇÃO DA CARGA INSTALADA E RENEGOCIAÇÃO DO CONTRATO DE FORNECIMENTO</w:t>
      </w:r>
      <w:bookmarkEnd w:id="10"/>
      <w:r w:rsidRPr="00C44B09">
        <w:rPr>
          <w:rFonts w:ascii="Arial" w:hAnsi="Arial" w:cs="Arial"/>
          <w:b/>
          <w:bCs/>
          <w:sz w:val="24"/>
          <w:szCs w:val="24"/>
        </w:rPr>
        <w:t xml:space="preserve"> </w:t>
      </w:r>
    </w:p>
    <w:p w14:paraId="54C1FE4E"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combate ao desperdício de energia elétrica é um programa prioritário no Brasil, e, para incentivar ações nesse sentido, a legislação prevê a renegociação dos contratos de fornecimento dos consumidores que efetivamente as adotarem. Nesse sentido, o artigo 65 da Resolução 414/2010 estabelece:  </w:t>
      </w:r>
    </w:p>
    <w:p w14:paraId="1C69E10B" w14:textId="69763731" w:rsidR="00FA2D96" w:rsidRPr="00C44B09" w:rsidRDefault="007E31DA" w:rsidP="00FA2D96">
      <w:pPr>
        <w:jc w:val="both"/>
        <w:rPr>
          <w:rFonts w:ascii="Arial" w:hAnsi="Arial" w:cs="Arial"/>
          <w:sz w:val="24"/>
          <w:szCs w:val="24"/>
        </w:rPr>
      </w:pPr>
      <w:r w:rsidRPr="00C44B09">
        <w:rPr>
          <w:rFonts w:ascii="Arial" w:hAnsi="Arial" w:cs="Arial"/>
          <w:sz w:val="24"/>
          <w:szCs w:val="24"/>
        </w:rPr>
        <w:t xml:space="preserve">“A distribuidora deve ajustar o contrato vigente, a qualquer tempo, sempre que solicitado pelo consumidor, em razão da implementação de medidas de eficiência energética que resultem em redução da demanda de potência, comprováveis pela distribuidora, ressalvado o disposto no contrato acerca do ressarcimento dos investimentos não amortizados durante a vigência do contrato”. </w:t>
      </w:r>
      <w:bookmarkStart w:id="11" w:name="_Toc34225747"/>
    </w:p>
    <w:p w14:paraId="60164B96" w14:textId="2FE5D11A" w:rsidR="007E31DA" w:rsidRPr="00C44B09" w:rsidRDefault="007E31DA" w:rsidP="00FA2D96">
      <w:pPr>
        <w:rPr>
          <w:rFonts w:ascii="Arial" w:hAnsi="Arial" w:cs="Arial"/>
          <w:b/>
          <w:bCs/>
          <w:sz w:val="24"/>
          <w:szCs w:val="24"/>
        </w:rPr>
      </w:pPr>
      <w:r w:rsidRPr="00C44B09">
        <w:rPr>
          <w:rFonts w:ascii="Arial" w:hAnsi="Arial" w:cs="Arial"/>
          <w:b/>
          <w:bCs/>
          <w:sz w:val="24"/>
          <w:szCs w:val="24"/>
        </w:rPr>
        <w:t>PARTICIPAÇÃO FINANCEIRA NOS INVESTIMENTOS</w:t>
      </w:r>
      <w:bookmarkEnd w:id="11"/>
      <w:r w:rsidRPr="00C44B09">
        <w:rPr>
          <w:rFonts w:ascii="Arial" w:hAnsi="Arial" w:cs="Arial"/>
          <w:b/>
          <w:bCs/>
          <w:sz w:val="24"/>
          <w:szCs w:val="24"/>
        </w:rPr>
        <w:t xml:space="preserve"> </w:t>
      </w:r>
    </w:p>
    <w:p w14:paraId="525E93EE" w14:textId="6CA9B33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No contrato a ser firmado entre a prefeitura e a concessionária de energia elétrica, devem ser definidos, não só os critérios de participação financeira para atender o serviço de iluminação padronizada (ver item Ponto de Entrega de Energia Elétrica para Iluminação Pública), mas os de participação financeira para implantação e expansão das redes de distribuição que atendem os sistemas de iluminação pública.  </w:t>
      </w:r>
    </w:p>
    <w:p w14:paraId="10214212" w14:textId="77777777" w:rsidR="004E4D2D" w:rsidRPr="00C44B09" w:rsidRDefault="007E31DA" w:rsidP="0059157D">
      <w:pPr>
        <w:jc w:val="both"/>
        <w:rPr>
          <w:rFonts w:ascii="Arial" w:hAnsi="Arial" w:cs="Arial"/>
          <w:sz w:val="24"/>
          <w:szCs w:val="24"/>
        </w:rPr>
      </w:pPr>
      <w:r w:rsidRPr="00C44B09">
        <w:rPr>
          <w:rFonts w:ascii="Arial" w:hAnsi="Arial" w:cs="Arial"/>
          <w:sz w:val="24"/>
          <w:szCs w:val="24"/>
        </w:rPr>
        <w:t xml:space="preserve">Até o ponto de entrega de energia elétrica, é de responsabilidade da concessionária, elaborar os projetos, executar as obras necessárias ao fornecimento e participar financeiramente, nos termos da legislação específica, bem como operar e manter o seu sistema elétrico. </w:t>
      </w:r>
    </w:p>
    <w:p w14:paraId="5C7A4ABC" w14:textId="00AB1821" w:rsidR="007E31DA" w:rsidRPr="00C44B09" w:rsidRDefault="007E31DA" w:rsidP="00FA2D96">
      <w:pPr>
        <w:rPr>
          <w:rFonts w:ascii="Arial" w:hAnsi="Arial" w:cs="Arial"/>
          <w:b/>
          <w:bCs/>
          <w:sz w:val="24"/>
          <w:szCs w:val="24"/>
        </w:rPr>
      </w:pPr>
      <w:bookmarkStart w:id="12" w:name="_Toc34225748"/>
      <w:r w:rsidRPr="00C44B09">
        <w:rPr>
          <w:rFonts w:ascii="Arial" w:hAnsi="Arial" w:cs="Arial"/>
          <w:b/>
          <w:bCs/>
          <w:sz w:val="24"/>
          <w:szCs w:val="24"/>
        </w:rPr>
        <w:t>PRAZO PARA PAGAMENTO DA CONTA DE ILUMINAÇÃO PÚBLICA</w:t>
      </w:r>
      <w:bookmarkEnd w:id="12"/>
      <w:r w:rsidRPr="00C44B09">
        <w:rPr>
          <w:rFonts w:ascii="Arial" w:hAnsi="Arial" w:cs="Arial"/>
          <w:b/>
          <w:bCs/>
          <w:sz w:val="24"/>
          <w:szCs w:val="24"/>
        </w:rPr>
        <w:t xml:space="preserve"> </w:t>
      </w:r>
    </w:p>
    <w:p w14:paraId="7F0A7D0C" w14:textId="77777777" w:rsidR="004E4D2D" w:rsidRPr="00C44B09" w:rsidRDefault="007E31DA" w:rsidP="0059157D">
      <w:pPr>
        <w:jc w:val="both"/>
        <w:rPr>
          <w:rFonts w:ascii="Arial" w:hAnsi="Arial" w:cs="Arial"/>
          <w:sz w:val="24"/>
          <w:szCs w:val="24"/>
        </w:rPr>
      </w:pPr>
      <w:r w:rsidRPr="00C44B09">
        <w:rPr>
          <w:rFonts w:ascii="Arial" w:hAnsi="Arial" w:cs="Arial"/>
          <w:sz w:val="24"/>
          <w:szCs w:val="24"/>
        </w:rPr>
        <w:t xml:space="preserve">O prazo, para vencimento das contas de iluminação pública, contados da data da respectiva apresentação, é de 10 (dez) dias úteis. </w:t>
      </w:r>
      <w:r w:rsidR="004E4D2D" w:rsidRPr="00C44B09">
        <w:rPr>
          <w:rFonts w:ascii="Arial" w:hAnsi="Arial" w:cs="Arial"/>
          <w:sz w:val="24"/>
          <w:szCs w:val="24"/>
        </w:rPr>
        <w:t xml:space="preserve"> </w:t>
      </w:r>
    </w:p>
    <w:p w14:paraId="73DF6322" w14:textId="77777777" w:rsidR="002F287E" w:rsidRPr="00C44B09" w:rsidRDefault="002F287E" w:rsidP="00FA2D96">
      <w:pPr>
        <w:rPr>
          <w:rFonts w:ascii="Arial" w:hAnsi="Arial" w:cs="Arial"/>
          <w:b/>
          <w:bCs/>
          <w:sz w:val="24"/>
          <w:szCs w:val="24"/>
        </w:rPr>
        <w:sectPr w:rsidR="002F287E" w:rsidRPr="00C44B09" w:rsidSect="00220F47">
          <w:pgSz w:w="11906" w:h="16838"/>
          <w:pgMar w:top="1417" w:right="1701" w:bottom="1417" w:left="1701" w:header="708" w:footer="708" w:gutter="0"/>
          <w:cols w:space="708"/>
          <w:docGrid w:linePitch="360"/>
        </w:sectPr>
      </w:pPr>
      <w:bookmarkStart w:id="13" w:name="_Toc34225749"/>
    </w:p>
    <w:p w14:paraId="0F14DDF3" w14:textId="7FA4E483" w:rsidR="007E31DA" w:rsidRPr="00C44B09" w:rsidRDefault="007E31DA" w:rsidP="00FA2D96">
      <w:pPr>
        <w:rPr>
          <w:rFonts w:ascii="Arial" w:hAnsi="Arial" w:cs="Arial"/>
          <w:b/>
          <w:bCs/>
          <w:sz w:val="24"/>
          <w:szCs w:val="24"/>
        </w:rPr>
      </w:pPr>
      <w:r w:rsidRPr="00C44B09">
        <w:rPr>
          <w:rFonts w:ascii="Arial" w:hAnsi="Arial" w:cs="Arial"/>
          <w:b/>
          <w:bCs/>
          <w:sz w:val="24"/>
          <w:szCs w:val="24"/>
        </w:rPr>
        <w:lastRenderedPageBreak/>
        <w:t>RESPONSABILIDADES E OBRIGAÇÕES DA CONCESSIONÁRIA</w:t>
      </w:r>
      <w:bookmarkEnd w:id="13"/>
      <w:r w:rsidRPr="00C44B09">
        <w:rPr>
          <w:rFonts w:ascii="Arial" w:hAnsi="Arial" w:cs="Arial"/>
          <w:b/>
          <w:bCs/>
          <w:sz w:val="24"/>
          <w:szCs w:val="24"/>
        </w:rPr>
        <w:t xml:space="preserve"> </w:t>
      </w:r>
    </w:p>
    <w:p w14:paraId="2E937CC9"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De acordo com a legislação vigente, as concessionárias de energia elétrica devem: </w:t>
      </w:r>
    </w:p>
    <w:p w14:paraId="6B26E5C3" w14:textId="156BEFC0" w:rsidR="007E31DA" w:rsidRPr="00C44B09" w:rsidRDefault="00077FC2" w:rsidP="0059157D">
      <w:pPr>
        <w:pStyle w:val="PargrafodaLista"/>
        <w:numPr>
          <w:ilvl w:val="0"/>
          <w:numId w:val="3"/>
        </w:numPr>
        <w:jc w:val="both"/>
        <w:rPr>
          <w:rFonts w:ascii="Arial" w:hAnsi="Arial" w:cs="Arial"/>
          <w:sz w:val="24"/>
          <w:szCs w:val="24"/>
        </w:rPr>
      </w:pPr>
      <w:r w:rsidRPr="00C44B09">
        <w:rPr>
          <w:rFonts w:ascii="Arial" w:hAnsi="Arial" w:cs="Arial"/>
          <w:sz w:val="24"/>
          <w:szCs w:val="24"/>
        </w:rPr>
        <w:t>Fornece</w:t>
      </w:r>
      <w:r w:rsidR="007E31DA" w:rsidRPr="00C44B09">
        <w:rPr>
          <w:rFonts w:ascii="Arial" w:hAnsi="Arial" w:cs="Arial"/>
          <w:sz w:val="24"/>
          <w:szCs w:val="24"/>
        </w:rPr>
        <w:t xml:space="preserve"> energia elétrica com continuidade, eficiência e segurança. </w:t>
      </w:r>
    </w:p>
    <w:p w14:paraId="4E495343" w14:textId="77777777" w:rsidR="007E31DA" w:rsidRPr="00C44B09" w:rsidRDefault="007E31DA" w:rsidP="0059157D">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Praticar tarifas com preços módicos, informando sempre os valores em vigor, o número e a data da Resolução que as houver estabelecido. </w:t>
      </w:r>
    </w:p>
    <w:p w14:paraId="6E0C210E" w14:textId="77777777" w:rsidR="007E31DA" w:rsidRPr="00C44B09" w:rsidRDefault="007E31DA" w:rsidP="0059157D">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Manter exemplares das Resoluções que regulamentam os serviços de energia elétrica em seus escritórios e locais de atendimento, para conhecimento ou consulta dos consumidores.  </w:t>
      </w:r>
    </w:p>
    <w:p w14:paraId="625D0F9E"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Assim sendo, o valor do consumo mensal de energia elétrica para fins de faturamento é estimado da seguinte forma:  </w:t>
      </w:r>
    </w:p>
    <w:p w14:paraId="272D1237" w14:textId="77777777" w:rsidR="0059157D" w:rsidRPr="00C44B09" w:rsidRDefault="007E31DA" w:rsidP="0059157D">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soma-se a potência das lâmpadas instaladas e as respectivas perdas nos reatores (quando houver); </w:t>
      </w:r>
    </w:p>
    <w:p w14:paraId="07209E74" w14:textId="77777777" w:rsidR="00FD6592" w:rsidRPr="00C44B09" w:rsidRDefault="007E31DA" w:rsidP="0059157D">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multiplica-se pelo número de horas em que a iluminação pública fica ligada no mês;  </w:t>
      </w:r>
    </w:p>
    <w:p w14:paraId="096B6CC9" w14:textId="77777777" w:rsidR="007E31DA" w:rsidRPr="00C44B09" w:rsidRDefault="007E31DA" w:rsidP="0059157D">
      <w:pPr>
        <w:pStyle w:val="PargrafodaLista"/>
        <w:numPr>
          <w:ilvl w:val="0"/>
          <w:numId w:val="3"/>
        </w:numPr>
        <w:jc w:val="both"/>
        <w:rPr>
          <w:rFonts w:ascii="Arial" w:hAnsi="Arial" w:cs="Arial"/>
          <w:sz w:val="24"/>
          <w:szCs w:val="24"/>
        </w:rPr>
      </w:pPr>
      <w:r w:rsidRPr="00C44B09">
        <w:rPr>
          <w:rFonts w:ascii="Arial" w:hAnsi="Arial" w:cs="Arial"/>
          <w:sz w:val="24"/>
          <w:szCs w:val="24"/>
        </w:rPr>
        <w:t>o resultado daí obtido, dividido por 1.000 (mil), totaliza o consumo de energia elétrica, em kWh (quilowatt-hora).</w:t>
      </w:r>
    </w:p>
    <w:p w14:paraId="793907AC" w14:textId="1E939A14"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Vale salientar que nem todos as concessionárias incluem os valores das perdas dos equipamentos auxiliares no faturamento de energia elétrica da iluminação pública. Entretanto, esta questão deve ser definida no contrato de fornecimento a ser efetuado entre a Prefeitura Municipal e a concessionária. Geralmente, em virtude da existência de lâmpadas de várias potências nos sistemas de iluminação pública, é comum adotar-se como valor médio de perdas nos reatores, 10% da potência total instalada. </w:t>
      </w:r>
    </w:p>
    <w:p w14:paraId="0C27BAB8" w14:textId="03D6B216" w:rsidR="00A14057" w:rsidRPr="00C44B09" w:rsidRDefault="007E31DA" w:rsidP="00A14057">
      <w:pPr>
        <w:rPr>
          <w:rFonts w:ascii="Arial" w:hAnsi="Arial" w:cs="Arial"/>
          <w:b/>
          <w:bCs/>
          <w:sz w:val="24"/>
          <w:szCs w:val="24"/>
        </w:rPr>
      </w:pPr>
      <w:bookmarkStart w:id="14" w:name="_Toc34225750"/>
      <w:r w:rsidRPr="00C44B09">
        <w:rPr>
          <w:rFonts w:ascii="Arial" w:hAnsi="Arial" w:cs="Arial"/>
          <w:b/>
          <w:bCs/>
          <w:sz w:val="24"/>
          <w:szCs w:val="24"/>
        </w:rPr>
        <w:t>DA ELABORAÇÃO DOS PROJETOS</w:t>
      </w:r>
      <w:bookmarkEnd w:id="14"/>
      <w:r w:rsidRPr="00C44B09">
        <w:rPr>
          <w:rFonts w:ascii="Arial" w:hAnsi="Arial" w:cs="Arial"/>
          <w:b/>
          <w:bCs/>
          <w:sz w:val="24"/>
          <w:szCs w:val="24"/>
        </w:rPr>
        <w:t xml:space="preserve">  </w:t>
      </w:r>
    </w:p>
    <w:p w14:paraId="3C0E0D9D" w14:textId="485BFDE3" w:rsidR="007E31DA" w:rsidRPr="00C44B09" w:rsidRDefault="007E31DA" w:rsidP="00A14057">
      <w:pPr>
        <w:jc w:val="both"/>
        <w:rPr>
          <w:rFonts w:ascii="Arial" w:hAnsi="Arial" w:cs="Arial"/>
          <w:sz w:val="24"/>
          <w:szCs w:val="24"/>
        </w:rPr>
      </w:pPr>
      <w:r w:rsidRPr="00C44B09">
        <w:rPr>
          <w:rFonts w:ascii="Arial" w:hAnsi="Arial" w:cs="Arial"/>
          <w:sz w:val="24"/>
          <w:szCs w:val="24"/>
        </w:rPr>
        <w:t xml:space="preserve">A elaboração de projeto, a implantação, expansão, operação e manutenção das instalações de iluminação pública são de responsabilidade do ente municipal ou de quem tenha recebido deste a delegação para prestar tais serviços </w:t>
      </w:r>
    </w:p>
    <w:p w14:paraId="022D1981" w14:textId="3AC83CC2" w:rsidR="007E31DA" w:rsidRPr="00C44B09" w:rsidRDefault="007E31DA" w:rsidP="00FA2D96">
      <w:pPr>
        <w:rPr>
          <w:rFonts w:ascii="Arial" w:hAnsi="Arial" w:cs="Arial"/>
          <w:b/>
          <w:bCs/>
          <w:sz w:val="24"/>
          <w:szCs w:val="24"/>
        </w:rPr>
      </w:pPr>
      <w:bookmarkStart w:id="15" w:name="_Toc34225751"/>
      <w:r w:rsidRPr="00C44B09">
        <w:rPr>
          <w:rFonts w:ascii="Arial" w:hAnsi="Arial" w:cs="Arial"/>
          <w:b/>
          <w:bCs/>
          <w:sz w:val="24"/>
          <w:szCs w:val="24"/>
        </w:rPr>
        <w:t>O CONSUMIDOR E A UNIDADE CONSUMIDORA</w:t>
      </w:r>
      <w:bookmarkEnd w:id="15"/>
      <w:r w:rsidRPr="00C44B09">
        <w:rPr>
          <w:rFonts w:ascii="Arial" w:hAnsi="Arial" w:cs="Arial"/>
          <w:b/>
          <w:bCs/>
          <w:sz w:val="24"/>
          <w:szCs w:val="24"/>
        </w:rPr>
        <w:t xml:space="preserve"> </w:t>
      </w:r>
    </w:p>
    <w:p w14:paraId="173818B2" w14:textId="1999BA89"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Consumidor é a pessoa física ou jurídica, legalmente representada, que solicita à concessionária o fornecimento de energia elétrica e assume a responsabilidade pelo pagamento das contas e demais obrigações legais, regulamentares e contratuais.  </w:t>
      </w:r>
    </w:p>
    <w:p w14:paraId="5E182C4C" w14:textId="502AACDE"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No caso da iluminação pública, quando não existe uma empresa municipal de iluminação pública, essa responsabilidade é atribuída a uma das Secretarias Municipais a que os serviços estejam ligados ou subordinados.  </w:t>
      </w:r>
    </w:p>
    <w:p w14:paraId="606842F6" w14:textId="3CC7695E" w:rsidR="007E31DA" w:rsidRPr="00C44B09" w:rsidRDefault="007E31DA" w:rsidP="0059157D">
      <w:pPr>
        <w:jc w:val="both"/>
        <w:rPr>
          <w:rFonts w:ascii="Arial" w:hAnsi="Arial" w:cs="Arial"/>
          <w:sz w:val="24"/>
          <w:szCs w:val="24"/>
        </w:rPr>
      </w:pPr>
      <w:r w:rsidRPr="00C44B09">
        <w:rPr>
          <w:rFonts w:ascii="Arial" w:hAnsi="Arial" w:cs="Arial"/>
          <w:sz w:val="24"/>
          <w:szCs w:val="24"/>
        </w:rPr>
        <w:lastRenderedPageBreak/>
        <w:t xml:space="preserve">A unidade consumidora pode ser constituída pelo conjunto de lâmpadas de um subsistema de iluminação pública: rua, praça, </w:t>
      </w:r>
      <w:r w:rsidR="000E5462" w:rsidRPr="00C44B09">
        <w:rPr>
          <w:rFonts w:ascii="Arial" w:hAnsi="Arial" w:cs="Arial"/>
          <w:sz w:val="24"/>
          <w:szCs w:val="24"/>
        </w:rPr>
        <w:t>bairro etc.</w:t>
      </w:r>
      <w:r w:rsidRPr="00C44B09">
        <w:rPr>
          <w:rFonts w:ascii="Arial" w:hAnsi="Arial" w:cs="Arial"/>
          <w:sz w:val="24"/>
          <w:szCs w:val="24"/>
        </w:rPr>
        <w:t xml:space="preserve">, o que pode ser constatado, na prática, pela forma de faturamento das próprias concessionárias, até mesmo nos casos em que não há medição. </w:t>
      </w:r>
    </w:p>
    <w:p w14:paraId="1ADDD207" w14:textId="5BEAFEC5" w:rsidR="007E31DA" w:rsidRPr="00C44B09" w:rsidRDefault="007E31DA" w:rsidP="00FA2D96">
      <w:pPr>
        <w:rPr>
          <w:rFonts w:ascii="Arial" w:hAnsi="Arial" w:cs="Arial"/>
          <w:b/>
          <w:bCs/>
          <w:sz w:val="24"/>
          <w:szCs w:val="24"/>
        </w:rPr>
      </w:pPr>
      <w:bookmarkStart w:id="16" w:name="_Toc34225752"/>
      <w:r w:rsidRPr="00C44B09">
        <w:rPr>
          <w:rFonts w:ascii="Arial" w:hAnsi="Arial" w:cs="Arial"/>
          <w:b/>
          <w:bCs/>
          <w:sz w:val="24"/>
          <w:szCs w:val="24"/>
        </w:rPr>
        <w:t>O PEDIDO DE FORNECIMENTO DE ENERGIA ELÉTRICA</w:t>
      </w:r>
      <w:bookmarkEnd w:id="16"/>
      <w:r w:rsidRPr="00C44B09">
        <w:rPr>
          <w:rFonts w:ascii="Arial" w:hAnsi="Arial" w:cs="Arial"/>
          <w:b/>
          <w:bCs/>
          <w:sz w:val="24"/>
          <w:szCs w:val="24"/>
        </w:rPr>
        <w:t xml:space="preserve"> </w:t>
      </w:r>
    </w:p>
    <w:p w14:paraId="4ACF1748" w14:textId="4B3670E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Prefeitura Municipal deve efetuar formalmente à concessionária, o pedido de fornecimento de energia elétrica para os sistemas de iluminação pública. Para tanto, a Prefeitura Municipal deve assegurar que as instalações elétricas da iluminação pública estejam de acordo com as normas da ABNT, e com os padrões da rede de distribuição da concessionária. </w:t>
      </w:r>
    </w:p>
    <w:p w14:paraId="05BCFC9A"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fornecimento de energia elétrica caracteriza negócio jurídico, sendo obrigatória a celebração, por escrito, de contrato de fornecimento entre a Prefeitura Municipal e a concessionária. </w:t>
      </w:r>
    </w:p>
    <w:p w14:paraId="3E335273" w14:textId="77777777" w:rsidR="007E31DA"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Prestar informações aos consumidores, individualmente ou aos Conselhos de Consumidores. </w:t>
      </w:r>
    </w:p>
    <w:p w14:paraId="51EEC996" w14:textId="77777777" w:rsidR="007E31DA"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Manter em todos os seus postos de atendimento, em lugar visível, livro próprio para possibilitar a manifestação por escrito dos seus consumidores. </w:t>
      </w:r>
    </w:p>
    <w:p w14:paraId="50B86817" w14:textId="77777777" w:rsidR="007E31DA"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Manter disponível aos consumidores suas normas e padrões. </w:t>
      </w:r>
    </w:p>
    <w:p w14:paraId="4D7E2A13"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As omissões, dúvidas e casos não previstos na Legislação serão resolvidos e decididos pela ANEEL. </w:t>
      </w:r>
    </w:p>
    <w:p w14:paraId="6ACC6FE5" w14:textId="7D74C5D7" w:rsidR="00FA2D96" w:rsidRPr="00C44B09" w:rsidRDefault="00FA2D96" w:rsidP="009671A0">
      <w:pPr>
        <w:rPr>
          <w:rFonts w:ascii="Arial" w:hAnsi="Arial" w:cs="Arial"/>
          <w:sz w:val="24"/>
          <w:szCs w:val="24"/>
        </w:rPr>
        <w:sectPr w:rsidR="00FA2D96" w:rsidRPr="00C44B09" w:rsidSect="00220F47">
          <w:pgSz w:w="11906" w:h="16838"/>
          <w:pgMar w:top="1417" w:right="1701" w:bottom="1417" w:left="1701" w:header="708" w:footer="708" w:gutter="0"/>
          <w:cols w:space="708"/>
          <w:docGrid w:linePitch="360"/>
        </w:sectPr>
      </w:pPr>
      <w:bookmarkStart w:id="17" w:name="_Toc34225753"/>
    </w:p>
    <w:p w14:paraId="707F04B3" w14:textId="77777777" w:rsidR="00E62118" w:rsidRPr="00C44B09" w:rsidRDefault="00E62118" w:rsidP="00E62118">
      <w:pPr>
        <w:pStyle w:val="Ttulo1"/>
        <w:numPr>
          <w:ilvl w:val="0"/>
          <w:numId w:val="20"/>
        </w:numPr>
        <w:spacing w:before="360" w:after="120"/>
        <w:ind w:left="993"/>
        <w:rPr>
          <w:rFonts w:cs="Arial"/>
          <w:bCs/>
          <w:sz w:val="24"/>
          <w:szCs w:val="24"/>
        </w:rPr>
      </w:pPr>
      <w:bookmarkStart w:id="18" w:name="_Toc149225883"/>
      <w:r w:rsidRPr="00C44B09">
        <w:rPr>
          <w:rFonts w:cs="Arial"/>
          <w:bCs/>
          <w:sz w:val="24"/>
          <w:szCs w:val="24"/>
        </w:rPr>
        <w:lastRenderedPageBreak/>
        <w:t>METODOLOGIA DAS SOLUÇÕES DE ENGENHARIA</w:t>
      </w:r>
      <w:bookmarkEnd w:id="18"/>
    </w:p>
    <w:p w14:paraId="53E42DE7"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Apresentam-se a seguir as metodologias que consubstanciaram as propostas descritas neste relatório. </w:t>
      </w:r>
    </w:p>
    <w:p w14:paraId="73C1DFE4" w14:textId="0B6FE99E" w:rsidR="00E62118" w:rsidRPr="00C44B09" w:rsidRDefault="00E62118" w:rsidP="00E62118">
      <w:pPr>
        <w:pStyle w:val="Ttulo2"/>
        <w:numPr>
          <w:ilvl w:val="1"/>
          <w:numId w:val="20"/>
        </w:numPr>
        <w:spacing w:before="120" w:beforeAutospacing="0" w:after="120" w:afterAutospacing="0"/>
        <w:ind w:left="709"/>
        <w:rPr>
          <w:rFonts w:cs="Arial"/>
          <w:sz w:val="24"/>
          <w:szCs w:val="24"/>
        </w:rPr>
      </w:pPr>
      <w:bookmarkStart w:id="19" w:name="_Toc149225884"/>
      <w:r w:rsidRPr="00C44B09">
        <w:rPr>
          <w:rFonts w:cs="Arial"/>
          <w:sz w:val="24"/>
          <w:szCs w:val="24"/>
        </w:rPr>
        <w:t>Critérios luminotécnicos</w:t>
      </w:r>
      <w:bookmarkEnd w:id="19"/>
      <w:r w:rsidRPr="00C44B09">
        <w:rPr>
          <w:rFonts w:cs="Arial"/>
          <w:sz w:val="24"/>
          <w:szCs w:val="24"/>
        </w:rPr>
        <w:t xml:space="preserve"> </w:t>
      </w:r>
    </w:p>
    <w:p w14:paraId="6FB71A06"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Os critérios luminotécnicos tratados na presente seção estão relacionados com as principais definições técnicas que foram consideradas ao longo do desenvolvimento das soluções de engenharia. </w:t>
      </w:r>
    </w:p>
    <w:p w14:paraId="5E6E3D1B" w14:textId="02CC8424" w:rsidR="00E62118" w:rsidRPr="00C44B09" w:rsidRDefault="00E62118" w:rsidP="00E62118">
      <w:pPr>
        <w:pStyle w:val="Ttulo3"/>
        <w:numPr>
          <w:ilvl w:val="2"/>
          <w:numId w:val="20"/>
        </w:numPr>
        <w:rPr>
          <w:rFonts w:ascii="Arial" w:eastAsia="Times New Roman" w:hAnsi="Arial" w:cs="Arial"/>
          <w:sz w:val="24"/>
        </w:rPr>
      </w:pPr>
      <w:bookmarkStart w:id="20" w:name="_Toc149225885"/>
      <w:r w:rsidRPr="00C44B09">
        <w:rPr>
          <w:rFonts w:ascii="Arial" w:eastAsia="Times New Roman" w:hAnsi="Arial" w:cs="Arial"/>
          <w:sz w:val="24"/>
        </w:rPr>
        <w:t>Iluminância</w:t>
      </w:r>
      <w:bookmarkEnd w:id="20"/>
      <w:r w:rsidRPr="00C44B09">
        <w:rPr>
          <w:rFonts w:ascii="Arial" w:eastAsia="Times New Roman" w:hAnsi="Arial" w:cs="Arial"/>
          <w:sz w:val="24"/>
        </w:rPr>
        <w:t xml:space="preserve"> </w:t>
      </w:r>
    </w:p>
    <w:p w14:paraId="462B286C"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 iluminância é o critério que avalia a quantidade de raios luminosos que incide sobre uma determinada área de análise, ou seja, a intensidade do fluxo luminoso (medido em lúmens ou lm) nesta mesma área, sendo mensurada em lux (lx ou lm/m²). A norma de iluminação pública ABNT NBR 5101:2018 estabelece níveis mínimos de iluminância média EMED (média das iluminâncias medidas entre dois postes) de acordo com a utilização das vias públicas por veículos e pedestres, os quais são abordados na seção 4.4.2 deste relatório. </w:t>
      </w:r>
    </w:p>
    <w:p w14:paraId="00BA9B7E" w14:textId="5F0DD8A2" w:rsidR="00E62118" w:rsidRPr="00C44B09" w:rsidRDefault="00E62118" w:rsidP="00E62118">
      <w:pPr>
        <w:pStyle w:val="Ttulo3"/>
        <w:numPr>
          <w:ilvl w:val="2"/>
          <w:numId w:val="20"/>
        </w:numPr>
        <w:rPr>
          <w:rFonts w:ascii="Arial" w:eastAsia="Times New Roman" w:hAnsi="Arial" w:cs="Arial"/>
          <w:sz w:val="24"/>
        </w:rPr>
      </w:pPr>
      <w:bookmarkStart w:id="21" w:name="_Toc149225886"/>
      <w:r w:rsidRPr="00C44B09">
        <w:rPr>
          <w:rFonts w:ascii="Arial" w:eastAsia="Times New Roman" w:hAnsi="Arial" w:cs="Arial"/>
          <w:sz w:val="24"/>
        </w:rPr>
        <w:t>Fator de uniformidade</w:t>
      </w:r>
      <w:bookmarkEnd w:id="21"/>
    </w:p>
    <w:p w14:paraId="11EBE59A"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O fator de uniformidade apresenta uma metodologia de avaliação em relação ao quão uniforme um ambiente está iluminado. Este fator é calculado pela razão entre a menor iluminância registrada ao longo das medições realizadas e a iluminância média EMED. Ressalta-se que quanto mais próxima a iluminância mínima estiver próxima de EMED, corresponde a ambientes mais uniformes e, consequentemente, com menores concentrações de áreas com sombreamento. </w:t>
      </w:r>
    </w:p>
    <w:p w14:paraId="21D3FA99" w14:textId="79219B56" w:rsidR="00E62118" w:rsidRPr="00C44B09" w:rsidRDefault="00E62118" w:rsidP="00E62118">
      <w:pPr>
        <w:pStyle w:val="Ttulo3"/>
        <w:numPr>
          <w:ilvl w:val="2"/>
          <w:numId w:val="20"/>
        </w:numPr>
        <w:rPr>
          <w:rFonts w:ascii="Arial" w:eastAsia="Times New Roman" w:hAnsi="Arial" w:cs="Arial"/>
          <w:sz w:val="24"/>
        </w:rPr>
      </w:pPr>
      <w:bookmarkStart w:id="22" w:name="_Toc149225887"/>
      <w:r w:rsidRPr="00C44B09">
        <w:rPr>
          <w:rFonts w:ascii="Arial" w:eastAsia="Times New Roman" w:hAnsi="Arial" w:cs="Arial"/>
          <w:sz w:val="24"/>
        </w:rPr>
        <w:t>Luminância</w:t>
      </w:r>
      <w:bookmarkEnd w:id="22"/>
      <w:r w:rsidRPr="00C44B09">
        <w:rPr>
          <w:rFonts w:ascii="Arial" w:eastAsia="Times New Roman" w:hAnsi="Arial" w:cs="Arial"/>
          <w:sz w:val="24"/>
        </w:rPr>
        <w:t xml:space="preserve"> </w:t>
      </w:r>
    </w:p>
    <w:p w14:paraId="5C4180A8" w14:textId="5D5FBE8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 luminância se refere a uma intensidade luminosa que atinge o observador e que pode ser proveniente de reflexão de uma superfície ou de uma fonte de luz ou, simplesmente, de um feixe de luz no espaço. Não obstante, a luminância média LMED é dada pelo valor médio da luminância na área delimitada </w:t>
      </w:r>
      <w:r w:rsidR="0004424C" w:rsidRPr="00C44B09">
        <w:rPr>
          <w:rFonts w:ascii="Arial" w:eastAsia="Times New Roman" w:hAnsi="Arial" w:cs="Arial"/>
          <w:sz w:val="24"/>
          <w:szCs w:val="24"/>
          <w:lang w:eastAsia="pt-BR"/>
        </w:rPr>
        <w:t>pelas</w:t>
      </w:r>
      <w:r w:rsidRPr="00C44B09">
        <w:rPr>
          <w:rFonts w:ascii="Arial" w:eastAsia="Times New Roman" w:hAnsi="Arial" w:cs="Arial"/>
          <w:sz w:val="24"/>
          <w:szCs w:val="24"/>
          <w:lang w:eastAsia="pt-BR"/>
        </w:rPr>
        <w:t xml:space="preserve"> malha de pontos considerada, ao nível da via. Sua unidade é em candelas por metro quadrado (cd/m²). </w:t>
      </w:r>
    </w:p>
    <w:p w14:paraId="57F190A6"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Assim como para iluminância existe a avaliação do fator de uniformidade, para a luminância existe a avaliação da uniformidade global, obtida pela razão entre a luminância mínima e a luminância média LMED e, portanto, representando o quão uniforme a intensidade luminosa incide sobre o observador ao longo da área analisada. </w:t>
      </w:r>
    </w:p>
    <w:p w14:paraId="694709C4" w14:textId="04AF086C" w:rsidR="00E62118" w:rsidRPr="00C44B09" w:rsidRDefault="00E62118" w:rsidP="00E62118">
      <w:pPr>
        <w:pStyle w:val="Ttulo3"/>
        <w:numPr>
          <w:ilvl w:val="2"/>
          <w:numId w:val="20"/>
        </w:numPr>
        <w:rPr>
          <w:rFonts w:ascii="Arial" w:eastAsia="Times New Roman" w:hAnsi="Arial" w:cs="Arial"/>
          <w:sz w:val="24"/>
        </w:rPr>
      </w:pPr>
      <w:bookmarkStart w:id="23" w:name="_Toc149225888"/>
      <w:r w:rsidRPr="00C44B09">
        <w:rPr>
          <w:rFonts w:ascii="Arial" w:eastAsia="Times New Roman" w:hAnsi="Arial" w:cs="Arial"/>
          <w:sz w:val="24"/>
        </w:rPr>
        <w:lastRenderedPageBreak/>
        <w:t>Temperatura de cor correlata</w:t>
      </w:r>
      <w:bookmarkEnd w:id="23"/>
      <w:r w:rsidRPr="00C44B09">
        <w:rPr>
          <w:rFonts w:ascii="Arial" w:eastAsia="Times New Roman" w:hAnsi="Arial" w:cs="Arial"/>
          <w:sz w:val="24"/>
        </w:rPr>
        <w:t xml:space="preserve"> </w:t>
      </w:r>
    </w:p>
    <w:p w14:paraId="654E9FC2"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A temperatura de cor correlata (TCC) de uma fonte de luz não está relacionada com a emissão de calor, mas com a sensação de conforto que essa proporciona em determinado ambiente. Usualmente é dada em Kelvin [K]. A figura a seguir apresenta uma escala das temperaturas de cor de fontes de luz.</w:t>
      </w:r>
    </w:p>
    <w:p w14:paraId="1453C379" w14:textId="77777777" w:rsidR="00E62118" w:rsidRPr="00C44B09" w:rsidRDefault="00E62118" w:rsidP="00E62118">
      <w:pPr>
        <w:autoSpaceDE w:val="0"/>
        <w:autoSpaceDN w:val="0"/>
        <w:adjustRightInd w:val="0"/>
        <w:spacing w:before="120" w:after="120"/>
        <w:jc w:val="both"/>
        <w:rPr>
          <w:rFonts w:ascii="Arial" w:hAnsi="Arial" w:cs="Arial"/>
          <w:sz w:val="24"/>
          <w:szCs w:val="24"/>
        </w:rPr>
      </w:pPr>
      <w:r w:rsidRPr="00C44B09">
        <w:rPr>
          <w:rFonts w:ascii="Arial" w:hAnsi="Arial" w:cs="Arial"/>
          <w:sz w:val="24"/>
          <w:szCs w:val="24"/>
        </w:rPr>
        <w:object w:dxaOrig="13550" w:dyaOrig="5510" w14:anchorId="4967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177.75pt" o:ole="">
            <v:imagedata r:id="rId12" o:title=""/>
          </v:shape>
          <o:OLEObject Type="Embed" ProgID="PBrush" ShapeID="_x0000_i1025" DrawAspect="Content" ObjectID="_1765951413" r:id="rId13"/>
        </w:object>
      </w:r>
    </w:p>
    <w:p w14:paraId="6C7EC54E"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Fonte: Elemental LED – Adaptado1 (2021) </w:t>
      </w:r>
    </w:p>
    <w:p w14:paraId="5664450F"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1 Acessado em 14/05/2020. Disponível em: &lt; https://www.elementalled.com/correlated-color-temperature/ &gt; </w:t>
      </w:r>
    </w:p>
    <w:p w14:paraId="5FBA36E0"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 definição adequada da TCC em determinado ambiente é fundamental sob uma série de aspectos, uma vez que pode modificar a sensação que as pessoas têm de um ambiente e interferir no índice de reprodução de cor, reproduzindo com mais ou menos fidelidade as cores de superfícies e objetos que compõem esse ambiente. </w:t>
      </w:r>
    </w:p>
    <w:p w14:paraId="05D814D5"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Ao longo do desenvolvimento das soluções propostas no presente relatório, ressalta-se que foram assumidas premissas em relação à classe de iluminação de cada uma das vias, conforme apresentado a seguir: </w:t>
      </w:r>
    </w:p>
    <w:p w14:paraId="22EC811D" w14:textId="43BDF49F"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 Em vias com classe de iluminação </w:t>
      </w:r>
      <w:r w:rsidR="0004424C" w:rsidRPr="00C44B09">
        <w:rPr>
          <w:rFonts w:ascii="Arial" w:eastAsia="Times New Roman" w:hAnsi="Arial" w:cs="Arial"/>
          <w:sz w:val="24"/>
          <w:szCs w:val="24"/>
          <w:lang w:eastAsia="pt-BR"/>
        </w:rPr>
        <w:t xml:space="preserve">V1, V2, </w:t>
      </w:r>
      <w:r w:rsidRPr="00C44B09">
        <w:rPr>
          <w:rFonts w:ascii="Arial" w:eastAsia="Times New Roman" w:hAnsi="Arial" w:cs="Arial"/>
          <w:sz w:val="24"/>
          <w:szCs w:val="24"/>
          <w:lang w:eastAsia="pt-BR"/>
        </w:rPr>
        <w:t>V3</w:t>
      </w:r>
      <w:r w:rsidR="0004424C" w:rsidRPr="00C44B09">
        <w:rPr>
          <w:rFonts w:ascii="Arial" w:eastAsia="Times New Roman" w:hAnsi="Arial" w:cs="Arial"/>
          <w:sz w:val="24"/>
          <w:szCs w:val="24"/>
          <w:lang w:eastAsia="pt-BR"/>
        </w:rPr>
        <w:t xml:space="preserve">, V4 </w:t>
      </w:r>
      <w:r w:rsidRPr="00C44B09">
        <w:rPr>
          <w:rFonts w:ascii="Arial" w:eastAsia="Times New Roman" w:hAnsi="Arial" w:cs="Arial"/>
          <w:sz w:val="24"/>
          <w:szCs w:val="24"/>
          <w:lang w:eastAsia="pt-BR"/>
        </w:rPr>
        <w:t xml:space="preserve">a V5, assume-se a utilização de luminárias LED com TCC menor ou igual a </w:t>
      </w:r>
      <w:r w:rsidR="001E577A">
        <w:rPr>
          <w:rFonts w:ascii="Arial" w:eastAsia="Times New Roman" w:hAnsi="Arial" w:cs="Arial"/>
          <w:sz w:val="24"/>
          <w:szCs w:val="24"/>
          <w:lang w:eastAsia="pt-BR"/>
        </w:rPr>
        <w:t>5</w:t>
      </w:r>
      <w:r w:rsidRPr="00C44B09">
        <w:rPr>
          <w:rFonts w:ascii="Arial" w:eastAsia="Times New Roman" w:hAnsi="Arial" w:cs="Arial"/>
          <w:sz w:val="24"/>
          <w:szCs w:val="24"/>
          <w:lang w:eastAsia="pt-BR"/>
        </w:rPr>
        <w:t xml:space="preserve">.000 K; </w:t>
      </w:r>
    </w:p>
    <w:p w14:paraId="7D6D636B" w14:textId="7AA15D33" w:rsidR="00E62118" w:rsidRPr="00C44B09" w:rsidRDefault="00E62118" w:rsidP="00E62118">
      <w:pPr>
        <w:pStyle w:val="Ttulo3"/>
        <w:numPr>
          <w:ilvl w:val="2"/>
          <w:numId w:val="20"/>
        </w:numPr>
        <w:rPr>
          <w:rFonts w:ascii="Arial" w:eastAsia="Times New Roman" w:hAnsi="Arial" w:cs="Arial"/>
          <w:sz w:val="24"/>
        </w:rPr>
      </w:pPr>
      <w:bookmarkStart w:id="24" w:name="_Toc149225889"/>
      <w:r w:rsidRPr="00C44B09">
        <w:rPr>
          <w:rFonts w:ascii="Arial" w:eastAsia="Times New Roman" w:hAnsi="Arial" w:cs="Arial"/>
          <w:sz w:val="24"/>
        </w:rPr>
        <w:t>Índice de reprodução de cor</w:t>
      </w:r>
      <w:bookmarkEnd w:id="24"/>
      <w:r w:rsidRPr="00C44B09">
        <w:rPr>
          <w:rFonts w:ascii="Arial" w:eastAsia="Times New Roman" w:hAnsi="Arial" w:cs="Arial"/>
          <w:sz w:val="24"/>
        </w:rPr>
        <w:t xml:space="preserve"> </w:t>
      </w:r>
    </w:p>
    <w:p w14:paraId="000D1AAF" w14:textId="591AA76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Conforme a Portaria nº 20 do INMETRO, o índice de reprodução de cor (IRC) de uma fonte de luz é um conjunto de cálculos que fornece a medida do quanto as cores percebidas do objeto iluminado por esta fonte se aproximam daquelas do mesmo</w:t>
      </w:r>
      <w:r w:rsidR="0004424C" w:rsidRPr="00C44B09">
        <w:rPr>
          <w:rFonts w:ascii="Arial" w:eastAsia="Times New Roman" w:hAnsi="Arial" w:cs="Arial"/>
          <w:sz w:val="24"/>
          <w:szCs w:val="24"/>
          <w:lang w:eastAsia="pt-BR"/>
        </w:rPr>
        <w:t xml:space="preserve"> </w:t>
      </w:r>
      <w:r w:rsidRPr="00C44B09">
        <w:rPr>
          <w:rFonts w:ascii="Arial" w:eastAsia="Times New Roman" w:hAnsi="Arial" w:cs="Arial"/>
          <w:sz w:val="24"/>
          <w:szCs w:val="24"/>
          <w:lang w:eastAsia="pt-BR"/>
        </w:rPr>
        <w:t xml:space="preserve">objeto iluminado por uma fonte padrão (iluminante de referência). Corresponde à relação entre a cor real de um objeto ou superfície e a aparência percebida diante de uma fonte luminosa. </w:t>
      </w:r>
    </w:p>
    <w:p w14:paraId="11C54A39"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lastRenderedPageBreak/>
        <w:t>A quantificação é dada pelo índice de reprodução de cor geral (Ra), que varia de 0 a 100. O significado do Ra é uma medida do quanto a reprodução das cores por uma determinada fonte de luz se aproxima daquela reprodução obtida pela luz natural. Dessa forma, quanto maior o valor de Ra, melhor a reprodução da cor, ou seja, maior a fidelidade na percepção das cores de objetos ou superfícies. Além disso, apresentam-se classificação de reprodução fidedigna das cores, conforme a tabela a seguir.</w:t>
      </w:r>
    </w:p>
    <w:p w14:paraId="58BD2B59" w14:textId="77777777" w:rsidR="00E62118" w:rsidRPr="00C44B09" w:rsidRDefault="00E62118" w:rsidP="00E62118">
      <w:pPr>
        <w:autoSpaceDE w:val="0"/>
        <w:autoSpaceDN w:val="0"/>
        <w:adjustRightInd w:val="0"/>
        <w:spacing w:before="120" w:after="120"/>
        <w:jc w:val="both"/>
        <w:rPr>
          <w:rFonts w:ascii="Arial" w:hAnsi="Arial" w:cs="Arial"/>
          <w:sz w:val="24"/>
          <w:szCs w:val="24"/>
        </w:rPr>
      </w:pPr>
      <w:r w:rsidRPr="00C44B09">
        <w:rPr>
          <w:rFonts w:ascii="Arial" w:hAnsi="Arial" w:cs="Arial"/>
          <w:sz w:val="24"/>
          <w:szCs w:val="24"/>
        </w:rPr>
        <w:object w:dxaOrig="7970" w:dyaOrig="4980" w14:anchorId="33FC48BB">
          <v:shape id="_x0000_i1026" type="#_x0000_t75" style="width:342pt;height:213.75pt" o:ole="">
            <v:imagedata r:id="rId14" o:title=""/>
          </v:shape>
          <o:OLEObject Type="Embed" ProgID="PBrush" ShapeID="_x0000_i1026" DrawAspect="Content" ObjectID="_1765951414" r:id="rId15"/>
        </w:object>
      </w:r>
    </w:p>
    <w:p w14:paraId="6C34D721"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Cabe ressaltar que, em termos de reprodução fidedigna das cores, a Portaria Nº 20 do INMETRO estabelece que as luminárias LED com padrão viário devem possuir, minimamente, um IRC de 70%. Dessa forma, utiliza-se essa premissa para propor soluções em vias de veículos. </w:t>
      </w:r>
    </w:p>
    <w:p w14:paraId="422E06E6" w14:textId="06061B1C" w:rsidR="00E62118" w:rsidRPr="00C44B09" w:rsidRDefault="00E62118" w:rsidP="00E62118">
      <w:pPr>
        <w:pStyle w:val="Ttulo3"/>
        <w:numPr>
          <w:ilvl w:val="2"/>
          <w:numId w:val="20"/>
        </w:numPr>
        <w:rPr>
          <w:rFonts w:ascii="Arial" w:eastAsia="Times New Roman" w:hAnsi="Arial" w:cs="Arial"/>
          <w:sz w:val="24"/>
        </w:rPr>
      </w:pPr>
      <w:bookmarkStart w:id="25" w:name="_Toc149225890"/>
      <w:r w:rsidRPr="00C44B09">
        <w:rPr>
          <w:rFonts w:ascii="Arial" w:eastAsia="Times New Roman" w:hAnsi="Arial" w:cs="Arial"/>
          <w:sz w:val="24"/>
        </w:rPr>
        <w:t>Poluição luminosa</w:t>
      </w:r>
      <w:bookmarkEnd w:id="25"/>
      <w:r w:rsidRPr="00C44B09">
        <w:rPr>
          <w:rFonts w:ascii="Arial" w:eastAsia="Times New Roman" w:hAnsi="Arial" w:cs="Arial"/>
          <w:sz w:val="24"/>
        </w:rPr>
        <w:t xml:space="preserve"> </w:t>
      </w:r>
    </w:p>
    <w:p w14:paraId="7ACB6D68" w14:textId="77777777" w:rsidR="00E62118" w:rsidRPr="00C44B09" w:rsidRDefault="00E62118" w:rsidP="00E62118">
      <w:pPr>
        <w:autoSpaceDE w:val="0"/>
        <w:autoSpaceDN w:val="0"/>
        <w:adjustRightInd w:val="0"/>
        <w:spacing w:before="120" w:after="120"/>
        <w:jc w:val="both"/>
        <w:rPr>
          <w:rFonts w:ascii="Arial" w:hAnsi="Arial" w:cs="Arial"/>
          <w:sz w:val="24"/>
          <w:szCs w:val="24"/>
        </w:rPr>
      </w:pPr>
      <w:r w:rsidRPr="00C44B09">
        <w:rPr>
          <w:rFonts w:ascii="Arial" w:hAnsi="Arial" w:cs="Arial"/>
          <w:sz w:val="24"/>
          <w:szCs w:val="24"/>
        </w:rPr>
        <w:t xml:space="preserve">De acordo com ABNT NBR 5101:2018, a poluição luminosa é o brilho noturno no céu acima das áreas características de concentração urbana. Essa poluição é provocada pela luz artificial mal direcionada de casas, prédios e demais instalações, que é refletida na poeira, vapor de água e outras partículas dispersas na atmosfera. Pode ser entendida como desperdício de energia, provocada por luminárias, instalações e projetos ineficientes e mal elaborados. </w:t>
      </w:r>
    </w:p>
    <w:p w14:paraId="69313666" w14:textId="77777777"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No caso da iluminação pública, a poluição luminosa é traduzida em projetos com níveis de iluminância superdimensionados não condizentes com a iluminação recomendada pela referida norma ou por luminárias sem o correto controle de dispersão de luz, como luminárias de descarga de alta intensidade (vapor de mercúrio, vapor de sódio e vapor metálico). Para reduzir a parcela da iluminação pública na poluição luminosa, as luminárias devem possuir uma classificação que mantenha baixa a emissão de luz acima do eixo horizontal, possua alta eficiência luminosa e permita baixos ângulos de instalação. Nessa perspectiva, as luminárias LED são atualmente apontadas como a melhor </w:t>
      </w:r>
      <w:r w:rsidRPr="00C44B09">
        <w:rPr>
          <w:rFonts w:ascii="Arial" w:eastAsia="Times New Roman" w:hAnsi="Arial" w:cs="Arial"/>
          <w:sz w:val="24"/>
          <w:szCs w:val="24"/>
          <w:lang w:eastAsia="pt-BR"/>
        </w:rPr>
        <w:lastRenderedPageBreak/>
        <w:t xml:space="preserve">solução para redução da poluição luminosa nas cidades, uma vez que geram fluxo luminoso com dispersão direta dos raios luminosos. </w:t>
      </w:r>
    </w:p>
    <w:p w14:paraId="2000DE91" w14:textId="34472C82"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r w:rsidRPr="00C44B09">
        <w:rPr>
          <w:rFonts w:ascii="Arial" w:eastAsia="Times New Roman" w:hAnsi="Arial" w:cs="Arial"/>
          <w:sz w:val="24"/>
          <w:szCs w:val="24"/>
          <w:lang w:eastAsia="pt-BR"/>
        </w:rPr>
        <w:t xml:space="preserve">Na figura a seguir apresenta-se uma visualização noturna de regiões próximas à cidade de </w:t>
      </w:r>
      <w:r w:rsidR="000A4F42">
        <w:rPr>
          <w:rFonts w:ascii="Arial" w:hAnsi="Arial" w:cs="Arial"/>
          <w:bCs/>
        </w:rPr>
        <w:t>Limoeiro</w:t>
      </w:r>
      <w:r w:rsidR="000A4F42" w:rsidRPr="00A9325A">
        <w:rPr>
          <w:rFonts w:ascii="Arial" w:hAnsi="Arial" w:cs="Arial"/>
          <w:bCs/>
        </w:rPr>
        <w:t>/</w:t>
      </w:r>
      <w:r w:rsidR="000A4F42">
        <w:rPr>
          <w:rFonts w:ascii="Arial" w:hAnsi="Arial" w:cs="Arial"/>
          <w:bCs/>
        </w:rPr>
        <w:t>PE</w:t>
      </w:r>
      <w:r w:rsidR="0004424C" w:rsidRPr="00C44B09">
        <w:rPr>
          <w:rFonts w:ascii="Arial" w:eastAsia="Times New Roman" w:hAnsi="Arial" w:cs="Arial"/>
          <w:sz w:val="24"/>
          <w:szCs w:val="24"/>
          <w:lang w:eastAsia="pt-BR"/>
        </w:rPr>
        <w:t xml:space="preserve"> </w:t>
      </w:r>
      <w:r w:rsidRPr="00C44B09">
        <w:rPr>
          <w:rFonts w:ascii="Arial" w:eastAsia="Times New Roman" w:hAnsi="Arial" w:cs="Arial"/>
          <w:sz w:val="24"/>
          <w:szCs w:val="24"/>
          <w:lang w:eastAsia="pt-BR"/>
        </w:rPr>
        <w:t>para exemplificação da poluição noturna.</w:t>
      </w:r>
    </w:p>
    <w:p w14:paraId="7761918E" w14:textId="621670EB" w:rsidR="00E62118" w:rsidRPr="00C44B09" w:rsidRDefault="00E62118" w:rsidP="00E62118">
      <w:pPr>
        <w:autoSpaceDE w:val="0"/>
        <w:autoSpaceDN w:val="0"/>
        <w:adjustRightInd w:val="0"/>
        <w:spacing w:before="120" w:after="120"/>
        <w:jc w:val="both"/>
        <w:rPr>
          <w:rFonts w:ascii="Arial" w:eastAsia="Times New Roman" w:hAnsi="Arial" w:cs="Arial"/>
          <w:sz w:val="24"/>
          <w:szCs w:val="24"/>
          <w:lang w:eastAsia="pt-BR"/>
        </w:rPr>
      </w:pPr>
    </w:p>
    <w:p w14:paraId="5C672FA6" w14:textId="1D91E20E" w:rsidR="00E62118" w:rsidRPr="00C44B09" w:rsidRDefault="00471FD0" w:rsidP="00E62118">
      <w:pPr>
        <w:rPr>
          <w:rFonts w:ascii="Arial" w:hAnsi="Arial" w:cs="Arial"/>
          <w:sz w:val="24"/>
          <w:szCs w:val="24"/>
        </w:rPr>
      </w:pPr>
      <w:r w:rsidRPr="00471FD0">
        <w:rPr>
          <w:rFonts w:ascii="Arial" w:hAnsi="Arial" w:cs="Arial"/>
          <w:noProof/>
          <w:sz w:val="24"/>
          <w:szCs w:val="24"/>
          <w:lang w:eastAsia="pt-BR"/>
        </w:rPr>
        <w:drawing>
          <wp:inline distT="0" distB="0" distL="0" distR="0" wp14:anchorId="009A07D6" wp14:editId="246C3E3F">
            <wp:extent cx="5400040" cy="3181350"/>
            <wp:effectExtent l="0" t="0" r="0" b="0"/>
            <wp:docPr id="581186324" name="Imagem 1" descr="Uma imagem contendo 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186324" name="Imagem 1" descr="Uma imagem contendo Interface gráfica do usuário&#10;&#10;Descrição gerada automaticamente"/>
                    <pic:cNvPicPr/>
                  </pic:nvPicPr>
                  <pic:blipFill>
                    <a:blip r:embed="rId16"/>
                    <a:stretch>
                      <a:fillRect/>
                    </a:stretch>
                  </pic:blipFill>
                  <pic:spPr>
                    <a:xfrm>
                      <a:off x="0" y="0"/>
                      <a:ext cx="5400040" cy="3181350"/>
                    </a:xfrm>
                    <a:prstGeom prst="rect">
                      <a:avLst/>
                    </a:prstGeom>
                  </pic:spPr>
                </pic:pic>
              </a:graphicData>
            </a:graphic>
          </wp:inline>
        </w:drawing>
      </w:r>
    </w:p>
    <w:p w14:paraId="7C20EE12" w14:textId="378DA1E5" w:rsidR="007E31DA" w:rsidRPr="00C44B09" w:rsidRDefault="007E31DA" w:rsidP="00CB6EDA">
      <w:pPr>
        <w:pStyle w:val="Ttulo1"/>
        <w:numPr>
          <w:ilvl w:val="0"/>
          <w:numId w:val="20"/>
        </w:numPr>
        <w:spacing w:before="360" w:after="120"/>
        <w:ind w:left="993"/>
        <w:rPr>
          <w:rFonts w:cs="Arial"/>
          <w:bCs/>
          <w:sz w:val="24"/>
          <w:szCs w:val="24"/>
        </w:rPr>
      </w:pPr>
      <w:bookmarkStart w:id="26" w:name="_Toc149225891"/>
      <w:r w:rsidRPr="00C44B09">
        <w:rPr>
          <w:rFonts w:cs="Arial"/>
          <w:bCs/>
          <w:sz w:val="24"/>
          <w:szCs w:val="24"/>
        </w:rPr>
        <w:t>PRINCIPAIS COMPONENTES DO SISTEMA DE ILUMINAÇÃO PÚBLICA</w:t>
      </w:r>
      <w:bookmarkEnd w:id="17"/>
      <w:bookmarkEnd w:id="26"/>
      <w:r w:rsidRPr="00C44B09">
        <w:rPr>
          <w:rFonts w:cs="Arial"/>
          <w:bCs/>
          <w:sz w:val="24"/>
          <w:szCs w:val="24"/>
        </w:rPr>
        <w:t xml:space="preserve"> </w:t>
      </w:r>
    </w:p>
    <w:p w14:paraId="165A1A35" w14:textId="23EE7FB8" w:rsidR="007E31DA" w:rsidRPr="00C44B09" w:rsidRDefault="007E31DA" w:rsidP="00FA2D96">
      <w:pPr>
        <w:rPr>
          <w:rFonts w:ascii="Arial" w:hAnsi="Arial" w:cs="Arial"/>
          <w:b/>
          <w:bCs/>
          <w:sz w:val="24"/>
          <w:szCs w:val="24"/>
        </w:rPr>
      </w:pPr>
      <w:bookmarkStart w:id="27" w:name="_Toc34225754"/>
      <w:r w:rsidRPr="00C44B09">
        <w:rPr>
          <w:rFonts w:ascii="Arial" w:hAnsi="Arial" w:cs="Arial"/>
          <w:b/>
          <w:bCs/>
          <w:sz w:val="24"/>
          <w:szCs w:val="24"/>
        </w:rPr>
        <w:t>INTRODUÇÃO</w:t>
      </w:r>
      <w:bookmarkEnd w:id="27"/>
      <w:r w:rsidRPr="00C44B09">
        <w:rPr>
          <w:rFonts w:ascii="Arial" w:hAnsi="Arial" w:cs="Arial"/>
          <w:b/>
          <w:bCs/>
          <w:sz w:val="24"/>
          <w:szCs w:val="24"/>
        </w:rPr>
        <w:t xml:space="preserve"> </w:t>
      </w:r>
    </w:p>
    <w:p w14:paraId="19AC2BDD" w14:textId="768BCB1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utilização de equipamentos eficientes pode reduzir os gastos do Município com o consumo de energia elétrica e com a manutenção do sistema de iluminação pública, melhorando assim o seu desempenho. A eficiência de um sistema de iluminação pública depende de todos os seus componentes, principalmente, lâmpadas, luminárias e reatores. </w:t>
      </w:r>
    </w:p>
    <w:p w14:paraId="7D1B7122" w14:textId="6BFB215F"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As lâmpadas, geralmente classificadas de acordo com o fenômeno que produz o seu fluxo luminoso: incandescência, descarga elétrica, indução, dentre outros, se constituem num dos principais componentes para redução do consumo de energia elétrica nos sistemas de IP. As luminárias por sua vez, devem promover uma adequada distribuição do fluxo luminoso produzido pelas lâmpadas, com o seu máximo aproveitamento. Já os reatores, são equipamentos auxiliares utilizados em conjunto com as lâmpadas de descarga, e suas características têm significativa influência no rendimento do conjunto de iluminação. </w:t>
      </w:r>
    </w:p>
    <w:p w14:paraId="20D019DE" w14:textId="0C4F2042" w:rsidR="007E31DA" w:rsidRPr="00C44B09" w:rsidRDefault="007E31DA" w:rsidP="00FA2D96">
      <w:pPr>
        <w:rPr>
          <w:rFonts w:ascii="Arial" w:hAnsi="Arial" w:cs="Arial"/>
          <w:b/>
          <w:bCs/>
          <w:sz w:val="24"/>
          <w:szCs w:val="24"/>
        </w:rPr>
      </w:pPr>
      <w:bookmarkStart w:id="28" w:name="_Toc34225755"/>
      <w:r w:rsidRPr="00C44B09">
        <w:rPr>
          <w:rFonts w:ascii="Arial" w:hAnsi="Arial" w:cs="Arial"/>
          <w:b/>
          <w:bCs/>
          <w:sz w:val="24"/>
          <w:szCs w:val="24"/>
        </w:rPr>
        <w:lastRenderedPageBreak/>
        <w:t>LÂMPADAS DE DESCARGA A ALTA PRESSÃO</w:t>
      </w:r>
      <w:bookmarkEnd w:id="28"/>
      <w:r w:rsidRPr="00C44B09">
        <w:rPr>
          <w:rFonts w:ascii="Arial" w:hAnsi="Arial" w:cs="Arial"/>
          <w:b/>
          <w:bCs/>
          <w:sz w:val="24"/>
          <w:szCs w:val="24"/>
        </w:rPr>
        <w:t xml:space="preserve"> </w:t>
      </w:r>
    </w:p>
    <w:p w14:paraId="6A7D1E81" w14:textId="045874D9" w:rsidR="007E31DA" w:rsidRPr="00C44B09" w:rsidRDefault="007E31DA" w:rsidP="0059157D">
      <w:pPr>
        <w:jc w:val="both"/>
        <w:rPr>
          <w:rFonts w:ascii="Arial" w:hAnsi="Arial" w:cs="Arial"/>
          <w:b/>
          <w:sz w:val="24"/>
          <w:szCs w:val="24"/>
        </w:rPr>
      </w:pPr>
      <w:r w:rsidRPr="00C44B09">
        <w:rPr>
          <w:rFonts w:ascii="Arial" w:hAnsi="Arial" w:cs="Arial"/>
          <w:b/>
          <w:sz w:val="24"/>
          <w:szCs w:val="24"/>
        </w:rPr>
        <w:t xml:space="preserve">Lâmpadas a Vapor de Sódio Alta Pressão – VSAP </w:t>
      </w:r>
    </w:p>
    <w:p w14:paraId="5D08384B" w14:textId="50875D2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Características principais </w:t>
      </w:r>
    </w:p>
    <w:p w14:paraId="1F6471A3" w14:textId="0D3799C3" w:rsidR="007E31DA" w:rsidRPr="00C44B09" w:rsidRDefault="007E31DA" w:rsidP="0059157D">
      <w:pPr>
        <w:jc w:val="both"/>
        <w:rPr>
          <w:rFonts w:ascii="Arial" w:hAnsi="Arial" w:cs="Arial"/>
          <w:sz w:val="24"/>
          <w:szCs w:val="24"/>
        </w:rPr>
      </w:pPr>
      <w:r w:rsidRPr="00C44B09">
        <w:rPr>
          <w:rFonts w:ascii="Arial" w:hAnsi="Arial" w:cs="Arial"/>
          <w:sz w:val="24"/>
          <w:szCs w:val="24"/>
        </w:rPr>
        <w:t>Nas lâmpadas VSAP a luz é produzida pela passagem da corrente elétrica através de um vapor de gás sob pressão</w:t>
      </w:r>
      <w:r w:rsidR="00FD6592" w:rsidRPr="00C44B09">
        <w:rPr>
          <w:rFonts w:ascii="Arial" w:hAnsi="Arial" w:cs="Arial"/>
          <w:sz w:val="24"/>
          <w:szCs w:val="24"/>
        </w:rPr>
        <w:t>¹</w:t>
      </w:r>
      <w:r w:rsidRPr="00C44B09">
        <w:rPr>
          <w:rFonts w:ascii="Arial" w:hAnsi="Arial" w:cs="Arial"/>
          <w:sz w:val="24"/>
          <w:szCs w:val="24"/>
        </w:rPr>
        <w:t xml:space="preserve">, em um tubo de descarga, tendo o sódio como principal elemento de radiação. A maioria das lâmpadas de descarga necessitam de equipamentos auxiliares para controlar a corrente de operação (reatores) e para iniciar o processo de descarga (ignitores). Esses dispositivos e suas características serão descritos no item Equipamentos Auxiliares. </w:t>
      </w:r>
    </w:p>
    <w:p w14:paraId="6B682C44" w14:textId="29127AA6" w:rsidR="00FD6592" w:rsidRPr="00C44B09" w:rsidRDefault="007E31DA" w:rsidP="0059157D">
      <w:pPr>
        <w:jc w:val="both"/>
        <w:rPr>
          <w:rFonts w:ascii="Arial" w:hAnsi="Arial" w:cs="Arial"/>
          <w:sz w:val="24"/>
          <w:szCs w:val="24"/>
        </w:rPr>
      </w:pPr>
      <w:r w:rsidRPr="00C44B09">
        <w:rPr>
          <w:rFonts w:ascii="Arial" w:hAnsi="Arial" w:cs="Arial"/>
          <w:sz w:val="24"/>
          <w:szCs w:val="24"/>
        </w:rPr>
        <w:t xml:space="preserve">A lâmpada VSAP é o tipo mais eficiente dentre as lâmpadas de descarga a alta pressão e suas características são: </w:t>
      </w:r>
    </w:p>
    <w:p w14:paraId="1677136F"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alta eficácia luminosa: 83 a 125 lm/W; </w:t>
      </w:r>
    </w:p>
    <w:p w14:paraId="71313DFF" w14:textId="1EC29BBD"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vida média muito longa: 16.000 a 2</w:t>
      </w:r>
      <w:r w:rsidR="002F287E" w:rsidRPr="00C44B09">
        <w:rPr>
          <w:rFonts w:ascii="Arial" w:hAnsi="Arial" w:cs="Arial"/>
          <w:sz w:val="24"/>
          <w:szCs w:val="24"/>
        </w:rPr>
        <w:t>4</w:t>
      </w:r>
      <w:r w:rsidRPr="00C44B09">
        <w:rPr>
          <w:rFonts w:ascii="Arial" w:hAnsi="Arial" w:cs="Arial"/>
          <w:sz w:val="24"/>
          <w:szCs w:val="24"/>
        </w:rPr>
        <w:t>.000 horas;</w:t>
      </w:r>
    </w:p>
    <w:p w14:paraId="09245414"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emprego obrigatório de equipamento auxiliar (reator e ignitor);</w:t>
      </w:r>
    </w:p>
    <w:p w14:paraId="51BA413B"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tempo de acendimento: mínimo de 4 minutos;</w:t>
      </w:r>
    </w:p>
    <w:p w14:paraId="71655696"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tempo de reacendimento: mínimo de 1 minuto;</w:t>
      </w:r>
    </w:p>
    <w:p w14:paraId="57B7B6BF" w14:textId="77777777" w:rsidR="007E31DA"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boa resistência a choques, vibrações e intempéries. </w:t>
      </w:r>
    </w:p>
    <w:p w14:paraId="3DEA99C6" w14:textId="77777777" w:rsidR="007E31DA" w:rsidRPr="00C44B09" w:rsidRDefault="007E31DA" w:rsidP="00FD6592">
      <w:pPr>
        <w:jc w:val="both"/>
        <w:rPr>
          <w:rFonts w:ascii="Arial" w:hAnsi="Arial" w:cs="Arial"/>
          <w:sz w:val="24"/>
          <w:szCs w:val="24"/>
        </w:rPr>
      </w:pPr>
      <w:r w:rsidRPr="00C44B09">
        <w:rPr>
          <w:rFonts w:ascii="Arial" w:hAnsi="Arial" w:cs="Arial"/>
          <w:sz w:val="24"/>
          <w:szCs w:val="24"/>
        </w:rPr>
        <w:t xml:space="preserve">1 A denominação “alta pressão” não possui um sentido absoluto, servindo apenas para comparar com as lâmpadas de sódio “baixa pressão”, que funcionam com valores menores de pressão no seu tubo de descarga. </w:t>
      </w:r>
    </w:p>
    <w:p w14:paraId="6C1A1958"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Quadro 2.1 apresenta as características principais das lâmpadas VSAP nas potências mais utilizadas em IP.  </w:t>
      </w:r>
    </w:p>
    <w:p w14:paraId="404B2BB2" w14:textId="5E7A9589"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w:t>
      </w:r>
    </w:p>
    <w:p w14:paraId="1ED826B4" w14:textId="10B31001" w:rsidR="007E31DA" w:rsidRPr="00C44B09" w:rsidRDefault="007E31DA" w:rsidP="00B404CD">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37B8B652" wp14:editId="1CC01A06">
            <wp:extent cx="3796752" cy="2209750"/>
            <wp:effectExtent l="0" t="0" r="0" b="63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6336" cy="2221148"/>
                    </a:xfrm>
                    <a:prstGeom prst="rect">
                      <a:avLst/>
                    </a:prstGeom>
                    <a:noFill/>
                    <a:ln>
                      <a:noFill/>
                    </a:ln>
                  </pic:spPr>
                </pic:pic>
              </a:graphicData>
            </a:graphic>
          </wp:inline>
        </w:drawing>
      </w:r>
    </w:p>
    <w:p w14:paraId="65519577"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Outra característica importante das lâmpadas VSAP é que, ao final de sua vida útil, devido a vários processos de desgaste natural dos gases internos ao tubo </w:t>
      </w:r>
      <w:r w:rsidRPr="00C44B09">
        <w:rPr>
          <w:rFonts w:ascii="Arial" w:hAnsi="Arial" w:cs="Arial"/>
          <w:sz w:val="24"/>
          <w:szCs w:val="24"/>
        </w:rPr>
        <w:lastRenderedPageBreak/>
        <w:t xml:space="preserve">de descarga, elas podem apresentar apagamentos intermitentes, produção de luz avermelhada e baixo fluxo luminoso. </w:t>
      </w:r>
    </w:p>
    <w:p w14:paraId="05DFDA6A" w14:textId="44F7FD9C"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Além das lâmpadas citadas, utilizou-se, na década de 80, as lâmpadas intercambiáveis VSAP 350/360W, que tiveram um papel importante como precursoras das lâmpadas de sódio a alta pressão. Para substituir uma lâmpada vapor mercúrio 400W, bastava trocá-la por uma daquelas lâmpadas, sem alterar nada mais na instalação. Porém, o reator para lâmpada vapor mercúrio 400W passava a operar fora de suas características nominais, implicando na redução de sua vida. Atualmente essas lâmpadas não são mais recomendadas para utilização em iluminação pública. </w:t>
      </w:r>
    </w:p>
    <w:p w14:paraId="77CAC25C" w14:textId="78C91233"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Na denominação para a base da lâmpada, E-27 ou E-40, a letra indica o tipo de rosca, neste caso, Edison, e os dígitos indicam o seu diâmetro em milímetros. </w:t>
      </w:r>
    </w:p>
    <w:p w14:paraId="388F49EB" w14:textId="54CC2823"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b) Depreciação do fluxo luminoso </w:t>
      </w:r>
    </w:p>
    <w:p w14:paraId="6C139802"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lâmpada VSAP possui um excelente fator de manutenção do fluxo luminoso. Sua produção luminosa decresce gradualmente, chegando ao final de sua vida útil com um valor, em média, de 90% do valor inicial. </w:t>
      </w:r>
    </w:p>
    <w:p w14:paraId="46BB642F" w14:textId="372C9910"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c) Curva média de mortalidade </w:t>
      </w:r>
    </w:p>
    <w:p w14:paraId="1DFF48CD" w14:textId="44F8C631"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número de partidas (acendimentos) tem grande influência no tempo de vida de uma lâmpada: quanto maior o número de partidas, menor será a sua vida. Nesse aspecto, outros fatores influenciam, tais como variação da tensão da rede, qualidade do reator e temperatura ambiente. </w:t>
      </w:r>
    </w:p>
    <w:p w14:paraId="65989F43" w14:textId="16D8154D" w:rsidR="007E31DA" w:rsidRPr="00C44B09" w:rsidRDefault="007E31DA" w:rsidP="0059157D">
      <w:pPr>
        <w:jc w:val="both"/>
        <w:rPr>
          <w:rFonts w:ascii="Arial" w:hAnsi="Arial" w:cs="Arial"/>
          <w:sz w:val="24"/>
          <w:szCs w:val="24"/>
        </w:rPr>
      </w:pPr>
      <w:r w:rsidRPr="00C44B09">
        <w:rPr>
          <w:rFonts w:ascii="Arial" w:hAnsi="Arial" w:cs="Arial"/>
          <w:sz w:val="24"/>
          <w:szCs w:val="24"/>
        </w:rPr>
        <w:t>A vida da lâmpada VSAP diminui acentuadamente se a tensão em seus terminais for aumentada além de suas condições nominais de operação. Aumentos de tensão podem ser causados por variações na rede de distribuição do Concessionária ou por perdas de parte do vapor de sódio presente no tubo de</w:t>
      </w:r>
    </w:p>
    <w:p w14:paraId="2B22AF6C" w14:textId="1FC794AB"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descarga. A Figura 2.1 apresenta a curva média de mortalidade para lâmpada VSAP. </w:t>
      </w:r>
    </w:p>
    <w:p w14:paraId="6CB09328"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w:t>
      </w:r>
      <w:r w:rsidR="00FD6592" w:rsidRPr="00C44B09">
        <w:rPr>
          <w:rFonts w:ascii="Arial" w:hAnsi="Arial" w:cs="Arial"/>
          <w:noProof/>
          <w:sz w:val="24"/>
          <w:szCs w:val="24"/>
          <w:lang w:eastAsia="pt-BR"/>
        </w:rPr>
        <w:drawing>
          <wp:inline distT="0" distB="0" distL="0" distR="0" wp14:anchorId="13627741" wp14:editId="4385B72E">
            <wp:extent cx="5391150" cy="1666875"/>
            <wp:effectExtent l="0" t="0" r="0" b="9525"/>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1666875"/>
                    </a:xfrm>
                    <a:prstGeom prst="rect">
                      <a:avLst/>
                    </a:prstGeom>
                    <a:noFill/>
                    <a:ln>
                      <a:noFill/>
                    </a:ln>
                  </pic:spPr>
                </pic:pic>
              </a:graphicData>
            </a:graphic>
          </wp:inline>
        </w:drawing>
      </w:r>
    </w:p>
    <w:p w14:paraId="4D0A45F7" w14:textId="7AB5FA18" w:rsidR="007E31DA" w:rsidRPr="00C44B09" w:rsidRDefault="007E31DA" w:rsidP="0059157D">
      <w:pPr>
        <w:jc w:val="both"/>
        <w:rPr>
          <w:rFonts w:ascii="Arial" w:hAnsi="Arial" w:cs="Arial"/>
          <w:sz w:val="24"/>
          <w:szCs w:val="24"/>
        </w:rPr>
      </w:pPr>
      <w:r w:rsidRPr="00C44B09">
        <w:rPr>
          <w:rFonts w:ascii="Arial" w:hAnsi="Arial" w:cs="Arial"/>
          <w:sz w:val="24"/>
          <w:szCs w:val="24"/>
        </w:rPr>
        <w:lastRenderedPageBreak/>
        <w:t xml:space="preserve">Conforme pode ser observado, ao final de sua vida - 24.000 horas, aproximadamente 50% das lâmpadas permanecem acesas. </w:t>
      </w:r>
    </w:p>
    <w:p w14:paraId="1E2AE5E1" w14:textId="324863BB"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d) Índice de reprodução de cor – IRC </w:t>
      </w:r>
    </w:p>
    <w:p w14:paraId="6EC1B7B6"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O Índice de Reprodução de Cor – IRC, é um número de 0 a 100 que classifica a qualidade relativa de reprodução de cor de uma fonte de luz artificial, identificando e descrevendo a aparência da cor do objeto iluminado. Para as lâmpadas VSAP esse índice é 20, valor considerado razoável para iluminação de vias públicas, onde não é tão importante o compromisso com a reprodução fiel das cores.  </w:t>
      </w:r>
    </w:p>
    <w:p w14:paraId="18B1AC31"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e) Locais recomendados para sua instalação </w:t>
      </w:r>
    </w:p>
    <w:p w14:paraId="73279D01" w14:textId="1E26BDE6"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Nos projetos de reforma, melhoria ou extensão de rede, recomenda-se a utilização da lâmpada VSAP. </w:t>
      </w:r>
    </w:p>
    <w:p w14:paraId="51BF1AF6" w14:textId="4F4FE689"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Considerando sua alta eficácia luminosa e longa vida útil, as lâmpadas VSAP devem ser consideradas como a primeira opção para utilização na iluminação de vias públicas, túneis, trevos, rodovias, vias especiais, praças, calçadões etc. </w:t>
      </w:r>
    </w:p>
    <w:p w14:paraId="2B7A22EA" w14:textId="740CB2F2" w:rsidR="007E31DA" w:rsidRPr="00C44B09" w:rsidRDefault="007E31DA" w:rsidP="00FB4868">
      <w:pPr>
        <w:rPr>
          <w:rFonts w:ascii="Arial" w:hAnsi="Arial" w:cs="Arial"/>
          <w:b/>
          <w:bCs/>
          <w:sz w:val="24"/>
          <w:szCs w:val="24"/>
        </w:rPr>
      </w:pPr>
      <w:r w:rsidRPr="00C44B09">
        <w:rPr>
          <w:rFonts w:ascii="Arial" w:hAnsi="Arial" w:cs="Arial"/>
          <w:b/>
          <w:bCs/>
          <w:sz w:val="24"/>
          <w:szCs w:val="24"/>
        </w:rPr>
        <w:t xml:space="preserve">Lâmpadas a Vapor de Mercúrio – VM </w:t>
      </w:r>
    </w:p>
    <w:p w14:paraId="079A32CB" w14:textId="474C08A2"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Características principais </w:t>
      </w:r>
    </w:p>
    <w:p w14:paraId="419B49AC"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A lâmpada VM também produz luz através da passagem da corrente elétrica através de um vapor de gás sob pressão e necessita de um reator para operar. Suas características são:</w:t>
      </w:r>
    </w:p>
    <w:p w14:paraId="7D662099" w14:textId="77777777" w:rsidR="00FD6592" w:rsidRPr="00C44B09" w:rsidRDefault="007E31DA" w:rsidP="0059157D">
      <w:pPr>
        <w:jc w:val="both"/>
        <w:rPr>
          <w:rFonts w:ascii="Arial" w:hAnsi="Arial" w:cs="Arial"/>
          <w:sz w:val="24"/>
          <w:szCs w:val="24"/>
        </w:rPr>
      </w:pPr>
      <w:r w:rsidRPr="00C44B09">
        <w:rPr>
          <w:rFonts w:ascii="Arial" w:hAnsi="Arial" w:cs="Arial"/>
          <w:sz w:val="24"/>
          <w:szCs w:val="24"/>
        </w:rPr>
        <w:t xml:space="preserve">eficácia luminosa mediana: 48 a 55 lm/W; </w:t>
      </w:r>
    </w:p>
    <w:p w14:paraId="51FD9AF9"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vida média: 16.000 horas; </w:t>
      </w:r>
    </w:p>
    <w:p w14:paraId="092F1302"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emprego obrigatório de equipamento auxiliar (reator e ignitor); </w:t>
      </w:r>
    </w:p>
    <w:p w14:paraId="6DF8F151"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acendimento: mínimo de 4 minutos; </w:t>
      </w:r>
    </w:p>
    <w:p w14:paraId="024E961C" w14:textId="77777777" w:rsidR="00FD6592"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reacendimento: mínimo de 1 minuto; </w:t>
      </w:r>
    </w:p>
    <w:p w14:paraId="1BE15005" w14:textId="469F2D2D" w:rsidR="007E31DA" w:rsidRPr="00C44B09" w:rsidRDefault="007E31DA"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boa resistência a choques, vibrações e intempéries. </w:t>
      </w:r>
    </w:p>
    <w:p w14:paraId="5B270FDC" w14:textId="1D5AE74D"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 O Quadro 2.2 apresenta as características principais das lâmpadas VM ovoides de bulbo fosco.  </w:t>
      </w:r>
      <w:r w:rsidRPr="00C44B09">
        <w:rPr>
          <w:rFonts w:ascii="Arial" w:hAnsi="Arial" w:cs="Arial"/>
          <w:noProof/>
          <w:sz w:val="24"/>
          <w:szCs w:val="24"/>
          <w:lang w:eastAsia="pt-BR"/>
        </w:rPr>
        <w:drawing>
          <wp:inline distT="0" distB="0" distL="0" distR="0" wp14:anchorId="7BD12CE2" wp14:editId="22B3DDC1">
            <wp:extent cx="5400675" cy="1590675"/>
            <wp:effectExtent l="0" t="0" r="9525"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675" cy="1590675"/>
                    </a:xfrm>
                    <a:prstGeom prst="rect">
                      <a:avLst/>
                    </a:prstGeom>
                    <a:noFill/>
                    <a:ln>
                      <a:noFill/>
                    </a:ln>
                  </pic:spPr>
                </pic:pic>
              </a:graphicData>
            </a:graphic>
          </wp:inline>
        </w:drawing>
      </w:r>
    </w:p>
    <w:p w14:paraId="04984105" w14:textId="77777777" w:rsidR="007E31DA" w:rsidRPr="00C44B09" w:rsidRDefault="007E31DA" w:rsidP="0059157D">
      <w:pPr>
        <w:jc w:val="both"/>
        <w:rPr>
          <w:rFonts w:ascii="Arial" w:hAnsi="Arial" w:cs="Arial"/>
          <w:sz w:val="24"/>
          <w:szCs w:val="24"/>
        </w:rPr>
      </w:pPr>
      <w:r w:rsidRPr="00C44B09">
        <w:rPr>
          <w:rFonts w:ascii="Arial" w:hAnsi="Arial" w:cs="Arial"/>
          <w:sz w:val="24"/>
          <w:szCs w:val="24"/>
        </w:rPr>
        <w:lastRenderedPageBreak/>
        <w:t xml:space="preserve">b) Depreciação do fluxo luminoso </w:t>
      </w:r>
    </w:p>
    <w:p w14:paraId="600304FA" w14:textId="43683C9B"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A exemplo do que ocorre com toda fonte de luz artificial, a lâmpada VM sofre, ao longo de sua vida, uma depreciação no seu fluxo luminoso. Entretanto, quando comparada à lâmpada VSAP, essa depreciação ocorre de maneira mais acentuada, chegando ao final de sua vida útil com um valor médio de 80%. </w:t>
      </w:r>
    </w:p>
    <w:p w14:paraId="6EE2D272" w14:textId="10E9D2AA" w:rsidR="007E31DA" w:rsidRPr="00C44B09" w:rsidRDefault="007E31DA" w:rsidP="0059157D">
      <w:pPr>
        <w:jc w:val="both"/>
        <w:rPr>
          <w:rFonts w:ascii="Arial" w:hAnsi="Arial" w:cs="Arial"/>
          <w:sz w:val="24"/>
          <w:szCs w:val="24"/>
        </w:rPr>
      </w:pPr>
      <w:r w:rsidRPr="00C44B09">
        <w:rPr>
          <w:rFonts w:ascii="Arial" w:hAnsi="Arial" w:cs="Arial"/>
          <w:sz w:val="24"/>
          <w:szCs w:val="24"/>
        </w:rPr>
        <w:t xml:space="preserve">c) Curva média de mortalidade </w:t>
      </w:r>
    </w:p>
    <w:p w14:paraId="69C36D88" w14:textId="77777777" w:rsidR="00B404CD" w:rsidRPr="00C44B09" w:rsidRDefault="007E31DA" w:rsidP="0059157D">
      <w:pPr>
        <w:jc w:val="both"/>
        <w:rPr>
          <w:rFonts w:ascii="Arial" w:hAnsi="Arial" w:cs="Arial"/>
          <w:sz w:val="24"/>
          <w:szCs w:val="24"/>
        </w:rPr>
      </w:pPr>
      <w:r w:rsidRPr="00C44B09">
        <w:rPr>
          <w:rFonts w:ascii="Arial" w:hAnsi="Arial" w:cs="Arial"/>
          <w:sz w:val="24"/>
          <w:szCs w:val="24"/>
        </w:rPr>
        <w:t>O gráfico apresentado na Figura 2.2 mostra a curva média de mortalidade para lâmpadas VM</w:t>
      </w:r>
    </w:p>
    <w:p w14:paraId="1AC4D69A" w14:textId="73CBBA9F" w:rsidR="007E31DA" w:rsidRPr="00C44B09" w:rsidRDefault="007E31DA" w:rsidP="0059157D">
      <w:pPr>
        <w:jc w:val="both"/>
        <w:rPr>
          <w:rFonts w:ascii="Arial" w:hAnsi="Arial" w:cs="Arial"/>
          <w:sz w:val="24"/>
          <w:szCs w:val="24"/>
        </w:rPr>
      </w:pPr>
      <w:r w:rsidRPr="00C44B09">
        <w:rPr>
          <w:rFonts w:ascii="Arial" w:hAnsi="Arial" w:cs="Arial"/>
          <w:sz w:val="24"/>
          <w:szCs w:val="24"/>
        </w:rPr>
        <w:t>.</w:t>
      </w:r>
      <w:r w:rsidRPr="00C44B09">
        <w:rPr>
          <w:rFonts w:ascii="Arial" w:hAnsi="Arial" w:cs="Arial"/>
          <w:noProof/>
          <w:sz w:val="24"/>
          <w:szCs w:val="24"/>
          <w:lang w:eastAsia="pt-BR"/>
        </w:rPr>
        <w:drawing>
          <wp:inline distT="0" distB="0" distL="0" distR="0" wp14:anchorId="694EEE22" wp14:editId="0BC8290E">
            <wp:extent cx="4619625" cy="2623491"/>
            <wp:effectExtent l="0" t="0" r="0" b="5715"/>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23792" cy="2625857"/>
                    </a:xfrm>
                    <a:prstGeom prst="rect">
                      <a:avLst/>
                    </a:prstGeom>
                    <a:noFill/>
                    <a:ln>
                      <a:noFill/>
                    </a:ln>
                  </pic:spPr>
                </pic:pic>
              </a:graphicData>
            </a:graphic>
          </wp:inline>
        </w:drawing>
      </w:r>
    </w:p>
    <w:p w14:paraId="0C697FF4"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d) Índice de reprodução de cor  </w:t>
      </w:r>
    </w:p>
    <w:p w14:paraId="465E7B59" w14:textId="1395BAE4"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Para as lâmpadas VM o IRC é 40, valor considerado bom para iluminação de vias públicas. </w:t>
      </w:r>
    </w:p>
    <w:p w14:paraId="31AED8A7" w14:textId="722F6835"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e) Locais recomendados para sua instalação </w:t>
      </w:r>
    </w:p>
    <w:p w14:paraId="1BBA57E9" w14:textId="02161FC3"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VM devem ser utilizadas apenas para manutenção das existentes.  Quedas de tensão na rede de distribuição acima de 5% do seu valor nominal, podem comprometer o acendimento das lâmpadas VM. </w:t>
      </w:r>
    </w:p>
    <w:p w14:paraId="56CB45EF" w14:textId="095FA2A6" w:rsidR="0059157D" w:rsidRPr="00C44B09" w:rsidRDefault="0059157D" w:rsidP="0059157D">
      <w:pPr>
        <w:jc w:val="both"/>
        <w:rPr>
          <w:rFonts w:ascii="Arial" w:hAnsi="Arial" w:cs="Arial"/>
          <w:b/>
          <w:sz w:val="24"/>
          <w:szCs w:val="24"/>
        </w:rPr>
      </w:pPr>
      <w:r w:rsidRPr="00C44B09">
        <w:rPr>
          <w:rFonts w:ascii="Arial" w:hAnsi="Arial" w:cs="Arial"/>
          <w:b/>
          <w:sz w:val="24"/>
          <w:szCs w:val="24"/>
        </w:rPr>
        <w:t xml:space="preserve">Lâmpadas Multivapores Metálicos – MVM </w:t>
      </w:r>
    </w:p>
    <w:p w14:paraId="4F46B5D1" w14:textId="74F546F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Características principais </w:t>
      </w:r>
    </w:p>
    <w:p w14:paraId="66BA0484"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MVM são uma das mais eficientes fontes em termos de reprodução de cores e também necessitam de equipamentos auxiliares (reator e ignitor) para sua operação. Suas características são: </w:t>
      </w:r>
    </w:p>
    <w:p w14:paraId="094C23E2"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eficácia luminosa razoável: 70 a 100 lm/W; </w:t>
      </w:r>
    </w:p>
    <w:p w14:paraId="4909461B"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lastRenderedPageBreak/>
        <w:t xml:space="preserve">vida média longa: 15.000 horas; </w:t>
      </w:r>
    </w:p>
    <w:p w14:paraId="03D34BB6"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emprego obrigatório de equipamento auxiliar (reator e ignitor); </w:t>
      </w:r>
    </w:p>
    <w:p w14:paraId="5C0C26AF"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acendimento: mínimo de 3 minutos; </w:t>
      </w:r>
    </w:p>
    <w:p w14:paraId="5934EFCC"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reacendimento variável em função do tipo: 5 a 8 minutos; </w:t>
      </w:r>
    </w:p>
    <w:p w14:paraId="5EE05859"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boa resistência a choques, vibrações e intempéries.</w:t>
      </w:r>
    </w:p>
    <w:p w14:paraId="5FAA361B" w14:textId="77777777" w:rsidR="0059157D"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excelente reprodução de cores. </w:t>
      </w:r>
    </w:p>
    <w:p w14:paraId="1FEA999B" w14:textId="00B05850"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O Quadro 2.3 apresenta as características principais das lâmpadas multivapores metálicos tubulares e com bulbo claro, nas potências de 70 a 400 W. </w:t>
      </w:r>
    </w:p>
    <w:p w14:paraId="06138317" w14:textId="77777777" w:rsidR="0059157D" w:rsidRPr="00C44B09" w:rsidRDefault="0059157D" w:rsidP="0059157D">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22844258" wp14:editId="46F1ED8E">
            <wp:extent cx="5400675" cy="1609725"/>
            <wp:effectExtent l="0" t="0" r="9525" b="9525"/>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675" cy="1609725"/>
                    </a:xfrm>
                    <a:prstGeom prst="rect">
                      <a:avLst/>
                    </a:prstGeom>
                    <a:noFill/>
                    <a:ln>
                      <a:noFill/>
                    </a:ln>
                  </pic:spPr>
                </pic:pic>
              </a:graphicData>
            </a:graphic>
          </wp:inline>
        </w:drawing>
      </w:r>
      <w:r w:rsidRPr="00C44B09">
        <w:rPr>
          <w:rFonts w:ascii="Arial" w:hAnsi="Arial" w:cs="Arial"/>
          <w:sz w:val="24"/>
          <w:szCs w:val="24"/>
        </w:rPr>
        <w:t xml:space="preserve">b) Índice de reprodução de cor  </w:t>
      </w:r>
    </w:p>
    <w:p w14:paraId="3598AA2D" w14:textId="08389BCE"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lâmpada MVM possibilita excelente reprodução de cores com índices variando entre 60 e 93. </w:t>
      </w:r>
    </w:p>
    <w:p w14:paraId="3CC54941"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maioria das lâmpadas multivapores metálicos é fabricada para posição de funcionamento vertical, o que deve ser verificado no momento de sua especificação e aquisição. </w:t>
      </w:r>
    </w:p>
    <w:p w14:paraId="77981255" w14:textId="7EBDDDCA"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c) Locais recomendados para sua instalação </w:t>
      </w:r>
    </w:p>
    <w:p w14:paraId="20045146" w14:textId="54F27D50"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MVM são recomendadas para iluminação de campos de futebol, monumentos, áreas verdes e sempre que se desejar alto índice de reprodução de cores e excelente nível de iluminância, destacando-se os locais onde há televisionamento ou filmagens em cores. </w:t>
      </w:r>
    </w:p>
    <w:p w14:paraId="60AEB0C9" w14:textId="75BE5015" w:rsidR="0059157D" w:rsidRPr="00C44B09" w:rsidRDefault="0059157D" w:rsidP="0059157D">
      <w:pPr>
        <w:jc w:val="both"/>
        <w:rPr>
          <w:rFonts w:ascii="Arial" w:hAnsi="Arial" w:cs="Arial"/>
          <w:b/>
          <w:sz w:val="24"/>
          <w:szCs w:val="24"/>
        </w:rPr>
      </w:pPr>
      <w:r w:rsidRPr="00C44B09">
        <w:rPr>
          <w:rFonts w:ascii="Arial" w:hAnsi="Arial" w:cs="Arial"/>
          <w:b/>
          <w:sz w:val="24"/>
          <w:szCs w:val="24"/>
        </w:rPr>
        <w:t xml:space="preserve">Lâmpadas Mistas – LM </w:t>
      </w:r>
    </w:p>
    <w:p w14:paraId="28C0FE5D" w14:textId="211336A8"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Características principais </w:t>
      </w:r>
    </w:p>
    <w:p w14:paraId="0EEB0C7B" w14:textId="64882983"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mistas também pertencem à família das lâmpadas de descarga a alta pressão. Em série com seu tubo de descarga encontra-se um filamento de tungstênio, que além de servir como um dispositivo limitador de corrente, substituindo o reator, é responsável por transformar essa lâmpada em uma fonte de cor quente2, contribuindo para um aumento da saída luminosa total. Assim, essa lâmpada pode ser conectada à rede diretamente, sem necessidade do uso de reator. Suas características são: </w:t>
      </w:r>
    </w:p>
    <w:p w14:paraId="47BF9217" w14:textId="79249CC6" w:rsidR="00FD6592" w:rsidRPr="00C44B09" w:rsidRDefault="0059157D" w:rsidP="00FB4868">
      <w:pPr>
        <w:jc w:val="both"/>
        <w:rPr>
          <w:rFonts w:ascii="Arial" w:hAnsi="Arial" w:cs="Arial"/>
          <w:sz w:val="24"/>
          <w:szCs w:val="24"/>
        </w:rPr>
      </w:pPr>
      <w:r w:rsidRPr="00C44B09">
        <w:rPr>
          <w:rFonts w:ascii="Arial" w:hAnsi="Arial" w:cs="Arial"/>
          <w:sz w:val="24"/>
          <w:szCs w:val="24"/>
        </w:rPr>
        <w:lastRenderedPageBreak/>
        <w:t xml:space="preserve"> baixa eficácia luminosa: 20 a 27 lm/W; </w:t>
      </w:r>
    </w:p>
    <w:p w14:paraId="1B546136"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vida média curta: 6.000 horas;</w:t>
      </w:r>
    </w:p>
    <w:p w14:paraId="0F221AD4"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não necessita de equipamento auxiliar; </w:t>
      </w:r>
    </w:p>
    <w:p w14:paraId="2A6BF210"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acendimento: mínimo de 3 minutos; </w:t>
      </w:r>
    </w:p>
    <w:p w14:paraId="0A320863"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tempo de reacendimento: 3 a 5 minutos; </w:t>
      </w:r>
    </w:p>
    <w:p w14:paraId="3C7876C3" w14:textId="77777777" w:rsidR="0059157D"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baixa resistência a choques e vibrações. </w:t>
      </w:r>
    </w:p>
    <w:p w14:paraId="29FC69D6" w14:textId="0C9F5EA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 O Quadro 2.4 apresenta as características principais das lâmpadas mistas nas potências mais utilizadas em IP. </w:t>
      </w:r>
    </w:p>
    <w:p w14:paraId="5374F934" w14:textId="77777777" w:rsidR="00FD6592" w:rsidRPr="00C44B09" w:rsidRDefault="0059157D" w:rsidP="0059157D">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4A333448" wp14:editId="296983E0">
            <wp:extent cx="5400675" cy="2609850"/>
            <wp:effectExtent l="0" t="0" r="9525" b="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675" cy="2609850"/>
                    </a:xfrm>
                    <a:prstGeom prst="rect">
                      <a:avLst/>
                    </a:prstGeom>
                    <a:noFill/>
                    <a:ln>
                      <a:noFill/>
                    </a:ln>
                  </pic:spPr>
                </pic:pic>
              </a:graphicData>
            </a:graphic>
          </wp:inline>
        </w:drawing>
      </w:r>
    </w:p>
    <w:p w14:paraId="49891E26"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de 250 e 400W podem funcionar em qualquer posição, enquanto as de 160W são recomendadas para a posição vertical ou ± 30º. Entretanto, para cada fabricante a posição recomendada de funcionamento pode variar. </w:t>
      </w:r>
    </w:p>
    <w:p w14:paraId="2C5684FA" w14:textId="58FEF6EC"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b) Índice de reprodução de </w:t>
      </w:r>
      <w:r w:rsidR="00FC2BB8" w:rsidRPr="00C44B09">
        <w:rPr>
          <w:rFonts w:ascii="Arial" w:hAnsi="Arial" w:cs="Arial"/>
          <w:sz w:val="24"/>
          <w:szCs w:val="24"/>
        </w:rPr>
        <w:t>cor, as</w:t>
      </w:r>
      <w:r w:rsidRPr="00C44B09">
        <w:rPr>
          <w:rFonts w:ascii="Arial" w:hAnsi="Arial" w:cs="Arial"/>
          <w:sz w:val="24"/>
          <w:szCs w:val="24"/>
        </w:rPr>
        <w:t xml:space="preserve"> lâmpadas mistas possuem um IRC igual a 60, valor considerado muito bom para iluminação pública. </w:t>
      </w:r>
    </w:p>
    <w:p w14:paraId="0E383740" w14:textId="485395CC"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c) Locais recomendados para sua instalação </w:t>
      </w:r>
    </w:p>
    <w:p w14:paraId="1DAC5038" w14:textId="4AE1C08E"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Mesmo podendo ser alojadas em luminárias para lâmpadas </w:t>
      </w:r>
      <w:r w:rsidR="00FD273C" w:rsidRPr="00C44B09">
        <w:rPr>
          <w:rFonts w:ascii="Arial" w:hAnsi="Arial" w:cs="Arial"/>
          <w:sz w:val="24"/>
          <w:szCs w:val="24"/>
        </w:rPr>
        <w:t>incandescentes, apresentando</w:t>
      </w:r>
      <w:r w:rsidRPr="00C44B09">
        <w:rPr>
          <w:rFonts w:ascii="Arial" w:hAnsi="Arial" w:cs="Arial"/>
          <w:sz w:val="24"/>
          <w:szCs w:val="24"/>
        </w:rPr>
        <w:t xml:space="preserve"> maior vida útil, menor custo de manutenção e maior eficácia luminosa, quando comparadas com estas, as lâmpadas mistas não se constituem numa boa opção para iluminação pública tendo em vista, principalmente, sua pequena vida útil e baixa eficiência energética. </w:t>
      </w:r>
    </w:p>
    <w:p w14:paraId="768E3022" w14:textId="7AA54740"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Tensões na rede de distribuição inferiores a 10% do valor nominal, podem dificultar a partida da lâmpada, enquanto tensões excessivas reduzem sua vida.  </w:t>
      </w:r>
    </w:p>
    <w:p w14:paraId="47D9869B" w14:textId="41BEC118" w:rsidR="0059157D" w:rsidRPr="00C44B09" w:rsidRDefault="0059157D" w:rsidP="0059157D">
      <w:pPr>
        <w:jc w:val="both"/>
        <w:rPr>
          <w:rFonts w:ascii="Arial" w:hAnsi="Arial" w:cs="Arial"/>
          <w:b/>
          <w:sz w:val="24"/>
          <w:szCs w:val="24"/>
        </w:rPr>
      </w:pPr>
      <w:r w:rsidRPr="00C44B09">
        <w:rPr>
          <w:rFonts w:ascii="Arial" w:hAnsi="Arial" w:cs="Arial"/>
          <w:b/>
          <w:sz w:val="24"/>
          <w:szCs w:val="24"/>
        </w:rPr>
        <w:t>L</w:t>
      </w:r>
      <w:r w:rsidR="00FB4868" w:rsidRPr="00C44B09">
        <w:rPr>
          <w:rFonts w:ascii="Arial" w:hAnsi="Arial" w:cs="Arial"/>
          <w:b/>
          <w:sz w:val="24"/>
          <w:szCs w:val="24"/>
        </w:rPr>
        <w:t xml:space="preserve">âmpadas Incandescentes </w:t>
      </w:r>
      <w:r w:rsidRPr="00C44B09">
        <w:rPr>
          <w:rFonts w:ascii="Arial" w:hAnsi="Arial" w:cs="Arial"/>
          <w:b/>
          <w:sz w:val="24"/>
          <w:szCs w:val="24"/>
        </w:rPr>
        <w:t xml:space="preserve">– LI </w:t>
      </w:r>
    </w:p>
    <w:p w14:paraId="7F0DC4B1" w14:textId="56AD73FC" w:rsidR="0059157D" w:rsidRPr="00C44B09" w:rsidRDefault="0059157D" w:rsidP="0059157D">
      <w:pPr>
        <w:jc w:val="both"/>
        <w:rPr>
          <w:rFonts w:ascii="Arial" w:hAnsi="Arial" w:cs="Arial"/>
          <w:sz w:val="24"/>
          <w:szCs w:val="24"/>
        </w:rPr>
      </w:pPr>
      <w:r w:rsidRPr="00C44B09">
        <w:rPr>
          <w:rFonts w:ascii="Arial" w:hAnsi="Arial" w:cs="Arial"/>
          <w:sz w:val="24"/>
          <w:szCs w:val="24"/>
        </w:rPr>
        <w:lastRenderedPageBreak/>
        <w:t xml:space="preserve">A lâmpada incandescente produz luz pela emissão de radiação de seu filamento, que é levado à incandescência devido </w:t>
      </w:r>
      <w:r w:rsidR="00FB4868" w:rsidRPr="00C44B09">
        <w:rPr>
          <w:rFonts w:ascii="Arial" w:hAnsi="Arial" w:cs="Arial"/>
          <w:sz w:val="24"/>
          <w:szCs w:val="24"/>
        </w:rPr>
        <w:t>à</w:t>
      </w:r>
      <w:r w:rsidRPr="00C44B09">
        <w:rPr>
          <w:rFonts w:ascii="Arial" w:hAnsi="Arial" w:cs="Arial"/>
          <w:sz w:val="24"/>
          <w:szCs w:val="24"/>
        </w:rPr>
        <w:t xml:space="preserve"> elevação de sua temperatura através da passagem da corrente elétrica. A lâmpada incandescente não necessita de equipamento auxiliar para o seu funcionamento, podendo ser conectada diretamente à rede de distribuição. </w:t>
      </w:r>
    </w:p>
    <w:p w14:paraId="7DAC1AFD" w14:textId="3F3DF78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Características principais </w:t>
      </w:r>
    </w:p>
    <w:p w14:paraId="4E945D3C" w14:textId="2F28DA04"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Apesar de não serem recomendadas para iluminação pública, serão apresentadas algumas características das lâmpadas incandescentes, apenas para efeito comparativo. </w:t>
      </w:r>
    </w:p>
    <w:p w14:paraId="2CC9B46B" w14:textId="4D408513"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características das lâmpadas incandescentes são: </w:t>
      </w:r>
    </w:p>
    <w:p w14:paraId="511B3CBE"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baixa eficácia luminosa: 14 a 17 lm/W;</w:t>
      </w:r>
    </w:p>
    <w:p w14:paraId="1CF636FE"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vida média muito curta: 1.000 horas; </w:t>
      </w:r>
    </w:p>
    <w:p w14:paraId="2CA86C51" w14:textId="77777777" w:rsidR="00FD6592"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acendimento e reacendimento instantâneos; </w:t>
      </w:r>
    </w:p>
    <w:p w14:paraId="54502230" w14:textId="77777777" w:rsidR="0059157D" w:rsidRPr="00C44B09" w:rsidRDefault="0059157D" w:rsidP="00FD6592">
      <w:pPr>
        <w:pStyle w:val="PargrafodaLista"/>
        <w:numPr>
          <w:ilvl w:val="0"/>
          <w:numId w:val="3"/>
        </w:numPr>
        <w:jc w:val="both"/>
        <w:rPr>
          <w:rFonts w:ascii="Arial" w:hAnsi="Arial" w:cs="Arial"/>
          <w:sz w:val="24"/>
          <w:szCs w:val="24"/>
        </w:rPr>
      </w:pPr>
      <w:r w:rsidRPr="00C44B09">
        <w:rPr>
          <w:rFonts w:ascii="Arial" w:hAnsi="Arial" w:cs="Arial"/>
          <w:sz w:val="24"/>
          <w:szCs w:val="24"/>
        </w:rPr>
        <w:t xml:space="preserve">baixa resistência a choques e vibrações. </w:t>
      </w:r>
    </w:p>
    <w:p w14:paraId="241D50F1" w14:textId="55389C60" w:rsidR="00FD6592" w:rsidRPr="00C44B09" w:rsidRDefault="0059157D" w:rsidP="0059157D">
      <w:pPr>
        <w:jc w:val="both"/>
        <w:rPr>
          <w:rFonts w:ascii="Arial" w:hAnsi="Arial" w:cs="Arial"/>
          <w:sz w:val="24"/>
          <w:szCs w:val="24"/>
        </w:rPr>
      </w:pPr>
      <w:r w:rsidRPr="00C44B09">
        <w:rPr>
          <w:rFonts w:ascii="Arial" w:hAnsi="Arial" w:cs="Arial"/>
          <w:sz w:val="24"/>
          <w:szCs w:val="24"/>
        </w:rPr>
        <w:t xml:space="preserve"> O Quadro 2.5 apresenta as características principais das lâmpadas incandescentes de 100, 150, 200, 300 e 500 W.</w:t>
      </w:r>
    </w:p>
    <w:p w14:paraId="13B6FB7B" w14:textId="77777777" w:rsidR="0059157D" w:rsidRPr="00C44B09" w:rsidRDefault="0059157D" w:rsidP="0059157D">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4FF4FA6C" wp14:editId="0437D71B">
            <wp:extent cx="5400675" cy="1809750"/>
            <wp:effectExtent l="0" t="0" r="9525" b="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675" cy="1809750"/>
                    </a:xfrm>
                    <a:prstGeom prst="rect">
                      <a:avLst/>
                    </a:prstGeom>
                    <a:noFill/>
                    <a:ln>
                      <a:noFill/>
                    </a:ln>
                  </pic:spPr>
                </pic:pic>
              </a:graphicData>
            </a:graphic>
          </wp:inline>
        </w:drawing>
      </w:r>
      <w:r w:rsidRPr="00C44B09">
        <w:rPr>
          <w:rFonts w:ascii="Arial" w:hAnsi="Arial" w:cs="Arial"/>
          <w:sz w:val="24"/>
          <w:szCs w:val="24"/>
        </w:rPr>
        <w:t xml:space="preserve"> b) Depreciação do fluxo luminoso </w:t>
      </w:r>
    </w:p>
    <w:p w14:paraId="6DDA4D8F"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O fluxo luminoso de uma lâmpada incandescente decresce ao longo de sua vida, sobretudo devido a diminuição de temperatura no seu filamento, causada pelo aumento da resistência provocado pela evaporação do tungstênio. Esse processo causa também o escurecimento do bulbo, contribuindo para diminuição do fluxo luminoso emitido. Contudo, através da introdução de gases inertes no interior do bulbo, consegue-se minimizar a evaporação do tungstênio do filamento dessas lâmpadas, melhorando a sua eficácia. </w:t>
      </w:r>
    </w:p>
    <w:p w14:paraId="6ADE69C6" w14:textId="474DD6C6"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c) Curva média de mortalidade </w:t>
      </w:r>
    </w:p>
    <w:p w14:paraId="3D5A8F7C" w14:textId="57476BE1"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 Figura 2.3 apresenta a curva de mortalidade para as lâmpadas incandescentes.  </w:t>
      </w:r>
    </w:p>
    <w:p w14:paraId="563F622F" w14:textId="77777777" w:rsidR="00FD6592" w:rsidRPr="00C44B09" w:rsidRDefault="0059157D" w:rsidP="0059157D">
      <w:pPr>
        <w:jc w:val="both"/>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6D43E06D" wp14:editId="6005A996">
            <wp:extent cx="5400675" cy="2895600"/>
            <wp:effectExtent l="0" t="0" r="952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675" cy="2895600"/>
                    </a:xfrm>
                    <a:prstGeom prst="rect">
                      <a:avLst/>
                    </a:prstGeom>
                    <a:noFill/>
                    <a:ln>
                      <a:noFill/>
                    </a:ln>
                  </pic:spPr>
                </pic:pic>
              </a:graphicData>
            </a:graphic>
          </wp:inline>
        </w:drawing>
      </w:r>
    </w:p>
    <w:p w14:paraId="58A6929E" w14:textId="18797C0B" w:rsidR="0059157D" w:rsidRPr="00C44B09" w:rsidRDefault="0059157D" w:rsidP="0059157D">
      <w:pPr>
        <w:jc w:val="both"/>
        <w:rPr>
          <w:rFonts w:ascii="Arial" w:hAnsi="Arial" w:cs="Arial"/>
          <w:sz w:val="24"/>
          <w:szCs w:val="24"/>
        </w:rPr>
      </w:pPr>
      <w:r w:rsidRPr="00C44B09">
        <w:rPr>
          <w:rFonts w:ascii="Arial" w:hAnsi="Arial" w:cs="Arial"/>
          <w:sz w:val="24"/>
          <w:szCs w:val="24"/>
        </w:rPr>
        <w:t>Conforme pode ser observado, ao final de sua vida, 50% da</w:t>
      </w:r>
      <w:r w:rsidR="00FC2BB8" w:rsidRPr="00C44B09">
        <w:rPr>
          <w:rFonts w:ascii="Arial" w:hAnsi="Arial" w:cs="Arial"/>
          <w:sz w:val="24"/>
          <w:szCs w:val="24"/>
        </w:rPr>
        <w:t>s</w:t>
      </w:r>
      <w:r w:rsidRPr="00C44B09">
        <w:rPr>
          <w:rFonts w:ascii="Arial" w:hAnsi="Arial" w:cs="Arial"/>
          <w:sz w:val="24"/>
          <w:szCs w:val="24"/>
        </w:rPr>
        <w:t xml:space="preserve"> lâmpadas permanecem acesas. </w:t>
      </w:r>
    </w:p>
    <w:p w14:paraId="0953A6AC" w14:textId="6952AD42"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Aumentos de tensão nas lâmpadas incandescentes além dos valores nominais especificados, ocasionam o aumento de corrente no seu filamento e, consequentemente, da temperatura. Com isso o fluxo luminoso também aumenta, mas a vida da lâmpada diminui consideravelmente. </w:t>
      </w:r>
    </w:p>
    <w:p w14:paraId="692DBDD8" w14:textId="7777777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d) Índice de reprodução de cor </w:t>
      </w:r>
    </w:p>
    <w:p w14:paraId="1AD8EB80" w14:textId="205CC487"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As lâmpadas incandescentes possuem um IRC de aproximadamente 100, sendo uma das fontes de luz artificial que melhor reproduz as cores. </w:t>
      </w:r>
    </w:p>
    <w:p w14:paraId="0ECF53C9" w14:textId="079872BD" w:rsidR="0059157D" w:rsidRPr="00C44B09" w:rsidRDefault="0059157D" w:rsidP="00FA2D96">
      <w:pPr>
        <w:rPr>
          <w:rFonts w:ascii="Arial" w:hAnsi="Arial" w:cs="Arial"/>
          <w:b/>
          <w:bCs/>
          <w:sz w:val="24"/>
          <w:szCs w:val="24"/>
        </w:rPr>
      </w:pPr>
      <w:r w:rsidRPr="00C44B09">
        <w:rPr>
          <w:rFonts w:ascii="Arial" w:hAnsi="Arial" w:cs="Arial"/>
          <w:b/>
          <w:bCs/>
          <w:sz w:val="24"/>
          <w:szCs w:val="24"/>
        </w:rPr>
        <w:t xml:space="preserve">RESUMO COMPARATIVO ENTRE OS TIPOS DE LÂMPADAS </w:t>
      </w:r>
    </w:p>
    <w:p w14:paraId="42CE0808" w14:textId="43DEE652" w:rsidR="0059157D" w:rsidRPr="00C44B09" w:rsidRDefault="0059157D" w:rsidP="0059157D">
      <w:pPr>
        <w:jc w:val="both"/>
        <w:rPr>
          <w:rFonts w:ascii="Arial" w:hAnsi="Arial" w:cs="Arial"/>
          <w:sz w:val="24"/>
          <w:szCs w:val="24"/>
        </w:rPr>
      </w:pPr>
      <w:r w:rsidRPr="00C44B09">
        <w:rPr>
          <w:rFonts w:ascii="Arial" w:hAnsi="Arial" w:cs="Arial"/>
          <w:sz w:val="24"/>
          <w:szCs w:val="24"/>
        </w:rPr>
        <w:t xml:space="preserve">O Quadro 2.6 apresenta um resumo comparativo das principais </w:t>
      </w:r>
      <w:r w:rsidR="002975C5" w:rsidRPr="00C44B09">
        <w:rPr>
          <w:rFonts w:ascii="Arial" w:hAnsi="Arial" w:cs="Arial"/>
          <w:sz w:val="24"/>
          <w:szCs w:val="24"/>
        </w:rPr>
        <w:t>características das</w:t>
      </w:r>
      <w:r w:rsidRPr="00C44B09">
        <w:rPr>
          <w:rFonts w:ascii="Arial" w:hAnsi="Arial" w:cs="Arial"/>
          <w:sz w:val="24"/>
          <w:szCs w:val="24"/>
        </w:rPr>
        <w:t xml:space="preserve"> lâmpadas mais utilizadas em sistemas de iluminação pública. </w:t>
      </w:r>
    </w:p>
    <w:p w14:paraId="7516F5B7" w14:textId="6A026EB4" w:rsidR="0059157D" w:rsidRPr="00C44B09" w:rsidRDefault="0059157D" w:rsidP="0059157D">
      <w:pPr>
        <w:jc w:val="both"/>
        <w:rPr>
          <w:rFonts w:ascii="Arial" w:hAnsi="Arial" w:cs="Arial"/>
          <w:sz w:val="24"/>
          <w:szCs w:val="24"/>
        </w:rPr>
      </w:pPr>
      <w:r w:rsidRPr="00C44B09">
        <w:rPr>
          <w:rFonts w:ascii="Arial" w:hAnsi="Arial" w:cs="Arial"/>
          <w:sz w:val="24"/>
          <w:szCs w:val="24"/>
        </w:rPr>
        <w:t>Quadro 2.6 - Principais características das lâmpadas de IP</w:t>
      </w:r>
    </w:p>
    <w:p w14:paraId="0CDD7361" w14:textId="77777777" w:rsidR="00FD6592" w:rsidRPr="00C44B09" w:rsidRDefault="0059157D" w:rsidP="00FD6592">
      <w:pPr>
        <w:jc w:val="both"/>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5447C039" wp14:editId="5FA637A7">
            <wp:extent cx="5391150" cy="2809875"/>
            <wp:effectExtent l="0" t="0" r="0" b="952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2809875"/>
                    </a:xfrm>
                    <a:prstGeom prst="rect">
                      <a:avLst/>
                    </a:prstGeom>
                    <a:noFill/>
                    <a:ln>
                      <a:noFill/>
                    </a:ln>
                  </pic:spPr>
                </pic:pic>
              </a:graphicData>
            </a:graphic>
          </wp:inline>
        </w:drawing>
      </w:r>
    </w:p>
    <w:p w14:paraId="26A01A7E" w14:textId="77777777" w:rsidR="00FD6592" w:rsidRPr="00C44B09" w:rsidRDefault="00FD6592" w:rsidP="00BB44EE">
      <w:pPr>
        <w:jc w:val="both"/>
        <w:rPr>
          <w:rFonts w:ascii="Arial" w:hAnsi="Arial" w:cs="Arial"/>
          <w:b/>
          <w:sz w:val="24"/>
          <w:szCs w:val="24"/>
        </w:rPr>
      </w:pPr>
      <w:r w:rsidRPr="00C44B09">
        <w:rPr>
          <w:rFonts w:ascii="Arial" w:hAnsi="Arial" w:cs="Arial"/>
          <w:b/>
          <w:sz w:val="24"/>
          <w:szCs w:val="24"/>
        </w:rPr>
        <w:t xml:space="preserve">Luminárias LED </w:t>
      </w:r>
    </w:p>
    <w:p w14:paraId="67252DD6" w14:textId="21EC3301" w:rsidR="00FD6592" w:rsidRPr="00C44B09" w:rsidRDefault="00FD6592" w:rsidP="00BB44EE">
      <w:pPr>
        <w:jc w:val="both"/>
        <w:rPr>
          <w:rFonts w:ascii="Arial" w:hAnsi="Arial" w:cs="Arial"/>
          <w:sz w:val="24"/>
          <w:szCs w:val="24"/>
        </w:rPr>
      </w:pPr>
      <w:r w:rsidRPr="00C44B09">
        <w:rPr>
          <w:rFonts w:ascii="Arial" w:hAnsi="Arial" w:cs="Arial"/>
          <w:sz w:val="24"/>
          <w:szCs w:val="24"/>
        </w:rPr>
        <w:t xml:space="preserve">Introdução A utilização da tecnologia LED na IP vem crescendo gradativamente em razão de apresentar características técnicas melhores que as lâmpadas de descarga. Para exemplificar, a vida mediana de um módulo LED é de 1,5 a 3 vezes maior que as das lâmpadas vapor de sódio, o que proporciona menores custos de manutenção.  As luminárias com LEDs além de produzirem uma luz mais branca, também proporcionam menores índices de ofuscamento e de poluição luminosa e (quando instaladas corretamente) possuem elevada eficácia luminosa (lm/W), se constituindo numa opção tecnicamente viável para iluminação pública.  </w:t>
      </w:r>
    </w:p>
    <w:p w14:paraId="185C5152" w14:textId="7D6D7D88" w:rsidR="00FD6592" w:rsidRPr="00C44B09" w:rsidRDefault="00FD6592" w:rsidP="00BB44EE">
      <w:pPr>
        <w:jc w:val="both"/>
        <w:rPr>
          <w:rFonts w:ascii="Arial" w:hAnsi="Arial" w:cs="Arial"/>
          <w:sz w:val="24"/>
          <w:szCs w:val="24"/>
        </w:rPr>
      </w:pPr>
      <w:r w:rsidRPr="00C44B09">
        <w:rPr>
          <w:rFonts w:ascii="Arial" w:hAnsi="Arial" w:cs="Arial"/>
          <w:sz w:val="24"/>
          <w:szCs w:val="24"/>
        </w:rPr>
        <w:t xml:space="preserve">Projetando com uso de luminárias LED As luminárias LED são projetadas com uma ótica que permite direcionar a luz produzida diretamente para as zonas que se deseja iluminar, reduzindo a poluição luminosa e a luz intrusiva. A Figura 2.17 apresenta, comparativamente, a distribuição do fluxo luminoso da luminária VSAP e LED. </w:t>
      </w:r>
    </w:p>
    <w:p w14:paraId="28A883D1" w14:textId="77777777" w:rsidR="00FD6592" w:rsidRPr="00C44B09" w:rsidRDefault="00FD6592" w:rsidP="00BB44EE">
      <w:pPr>
        <w:jc w:val="both"/>
        <w:rPr>
          <w:rFonts w:ascii="Arial" w:hAnsi="Arial" w:cs="Arial"/>
          <w:sz w:val="24"/>
          <w:szCs w:val="24"/>
        </w:rPr>
      </w:pPr>
      <w:r w:rsidRPr="00C44B09">
        <w:rPr>
          <w:rFonts w:ascii="Arial" w:hAnsi="Arial" w:cs="Arial"/>
          <w:sz w:val="24"/>
          <w:szCs w:val="24"/>
        </w:rPr>
        <w:lastRenderedPageBreak/>
        <w:t xml:space="preserve"> </w:t>
      </w:r>
      <w:r w:rsidRPr="00C44B09">
        <w:rPr>
          <w:rFonts w:ascii="Arial" w:hAnsi="Arial" w:cs="Arial"/>
          <w:noProof/>
          <w:sz w:val="24"/>
          <w:szCs w:val="24"/>
          <w:lang w:eastAsia="pt-BR"/>
        </w:rPr>
        <w:drawing>
          <wp:inline distT="0" distB="0" distL="0" distR="0" wp14:anchorId="06B1DF8F" wp14:editId="70DA14EA">
            <wp:extent cx="5200650" cy="2209800"/>
            <wp:effectExtent l="0" t="0" r="0" b="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00650" cy="2209800"/>
                    </a:xfrm>
                    <a:prstGeom prst="rect">
                      <a:avLst/>
                    </a:prstGeom>
                    <a:noFill/>
                    <a:ln>
                      <a:noFill/>
                    </a:ln>
                  </pic:spPr>
                </pic:pic>
              </a:graphicData>
            </a:graphic>
          </wp:inline>
        </w:drawing>
      </w:r>
    </w:p>
    <w:p w14:paraId="63D5B846" w14:textId="2B286BC9" w:rsidR="00FD6592" w:rsidRPr="00C44B09" w:rsidRDefault="00FD6592" w:rsidP="00BB44EE">
      <w:pPr>
        <w:jc w:val="both"/>
        <w:rPr>
          <w:rFonts w:ascii="Arial" w:hAnsi="Arial" w:cs="Arial"/>
          <w:sz w:val="24"/>
          <w:szCs w:val="24"/>
        </w:rPr>
      </w:pPr>
      <w:r w:rsidRPr="00C44B09">
        <w:rPr>
          <w:rFonts w:ascii="Arial" w:hAnsi="Arial" w:cs="Arial"/>
          <w:sz w:val="24"/>
          <w:szCs w:val="24"/>
        </w:rPr>
        <w:t xml:space="preserve">Figura 2.17 – Comparação da distribuição de fluxo luminoso nas zonas </w:t>
      </w:r>
    </w:p>
    <w:p w14:paraId="190B3CFC" w14:textId="7A5DD2AB" w:rsidR="00FD6592" w:rsidRPr="00C44B09" w:rsidRDefault="00FD6592" w:rsidP="00BB44EE">
      <w:pPr>
        <w:jc w:val="both"/>
        <w:rPr>
          <w:rFonts w:ascii="Arial" w:hAnsi="Arial" w:cs="Arial"/>
          <w:sz w:val="24"/>
          <w:szCs w:val="24"/>
        </w:rPr>
      </w:pPr>
      <w:r w:rsidRPr="00C44B09">
        <w:rPr>
          <w:rFonts w:ascii="Arial" w:hAnsi="Arial" w:cs="Arial"/>
          <w:sz w:val="24"/>
          <w:szCs w:val="24"/>
        </w:rPr>
        <w:t xml:space="preserve">Conforme apresentado na figura acima, 47% do fluxo luminoso produzido pelas luminárias a LED são aproveitados para iluminação da via, o que corresponde a mais do que o dobro do fluxo direcionado para a mesma área quando comparado com as luminárias VSAP. Assim sendo, recomenda-se um cuidado maior do projetista no momento de se definir qual será o ângulo de inclinação da luminária no braço ou poste da IP. Na grande maioria dos casos a luminária deverá ser instalada a 0 graus (a utilização de softwares de cálculos, como por exemplo o DIALux evo, poderá ser de grande valia nessa definição). </w:t>
      </w:r>
    </w:p>
    <w:p w14:paraId="5F2F4412" w14:textId="75127981" w:rsidR="00FD6592" w:rsidRPr="00C44B09" w:rsidRDefault="00FD6592" w:rsidP="00BB44EE">
      <w:pPr>
        <w:jc w:val="both"/>
        <w:rPr>
          <w:rFonts w:ascii="Arial" w:hAnsi="Arial" w:cs="Arial"/>
          <w:sz w:val="24"/>
          <w:szCs w:val="24"/>
        </w:rPr>
      </w:pPr>
      <w:r w:rsidRPr="00C44B09">
        <w:rPr>
          <w:rFonts w:ascii="Arial" w:hAnsi="Arial" w:cs="Arial"/>
          <w:sz w:val="24"/>
          <w:szCs w:val="24"/>
        </w:rPr>
        <w:t xml:space="preserve">Características técnicas </w:t>
      </w:r>
      <w:r w:rsidR="00FC2BB8" w:rsidRPr="00C44B09">
        <w:rPr>
          <w:rFonts w:ascii="Arial" w:hAnsi="Arial" w:cs="Arial"/>
          <w:sz w:val="24"/>
          <w:szCs w:val="24"/>
        </w:rPr>
        <w:t>d</w:t>
      </w:r>
      <w:r w:rsidRPr="00C44B09">
        <w:rPr>
          <w:rFonts w:ascii="Arial" w:hAnsi="Arial" w:cs="Arial"/>
          <w:sz w:val="24"/>
          <w:szCs w:val="24"/>
        </w:rPr>
        <w:t xml:space="preserve">e maneira resumida, as características básicas </w:t>
      </w:r>
      <w:r w:rsidR="009E5A09" w:rsidRPr="00C44B09">
        <w:rPr>
          <w:rFonts w:ascii="Arial" w:hAnsi="Arial" w:cs="Arial"/>
          <w:sz w:val="24"/>
          <w:szCs w:val="24"/>
        </w:rPr>
        <w:t>das luminárias</w:t>
      </w:r>
      <w:r w:rsidRPr="00C44B09">
        <w:rPr>
          <w:rFonts w:ascii="Arial" w:hAnsi="Arial" w:cs="Arial"/>
          <w:sz w:val="24"/>
          <w:szCs w:val="24"/>
        </w:rPr>
        <w:t xml:space="preserve"> LED mais utilizadas na IP são as seguintes: </w:t>
      </w:r>
    </w:p>
    <w:p w14:paraId="33534D0B" w14:textId="5043207F"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Tensão: </w:t>
      </w:r>
      <w:r w:rsidR="001E577A">
        <w:rPr>
          <w:rFonts w:ascii="Arial" w:hAnsi="Arial" w:cs="Arial"/>
          <w:sz w:val="24"/>
          <w:szCs w:val="24"/>
        </w:rPr>
        <w:t>22</w:t>
      </w:r>
      <w:r w:rsidRPr="00C44B09">
        <w:rPr>
          <w:rFonts w:ascii="Arial" w:hAnsi="Arial" w:cs="Arial"/>
          <w:sz w:val="24"/>
          <w:szCs w:val="24"/>
        </w:rPr>
        <w:t xml:space="preserve">0 V; </w:t>
      </w:r>
    </w:p>
    <w:p w14:paraId="1DBF650E" w14:textId="7B949905"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Potência de </w:t>
      </w:r>
      <w:r w:rsidR="009E5A09" w:rsidRPr="00C44B09">
        <w:rPr>
          <w:rFonts w:ascii="Arial" w:hAnsi="Arial" w:cs="Arial"/>
          <w:sz w:val="24"/>
          <w:szCs w:val="24"/>
        </w:rPr>
        <w:t>3</w:t>
      </w:r>
      <w:r w:rsidRPr="00C44B09">
        <w:rPr>
          <w:rFonts w:ascii="Arial" w:hAnsi="Arial" w:cs="Arial"/>
          <w:sz w:val="24"/>
          <w:szCs w:val="24"/>
        </w:rPr>
        <w:t>0 a 300 W;</w:t>
      </w:r>
    </w:p>
    <w:p w14:paraId="52949D8E" w14:textId="62C38EBC"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Temperatura de cor: de </w:t>
      </w:r>
      <w:r w:rsidR="001E577A">
        <w:rPr>
          <w:rFonts w:ascii="Arial" w:hAnsi="Arial" w:cs="Arial"/>
          <w:sz w:val="24"/>
          <w:szCs w:val="24"/>
        </w:rPr>
        <w:t>5</w:t>
      </w:r>
      <w:r w:rsidRPr="00C44B09">
        <w:rPr>
          <w:rFonts w:ascii="Arial" w:hAnsi="Arial" w:cs="Arial"/>
          <w:sz w:val="24"/>
          <w:szCs w:val="24"/>
        </w:rPr>
        <w:t xml:space="preserve">.000 K; </w:t>
      </w:r>
    </w:p>
    <w:p w14:paraId="2A6D37C4" w14:textId="72DC97E2"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IRC igual ou superior a </w:t>
      </w:r>
      <w:r w:rsidR="00846C29" w:rsidRPr="00C44B09">
        <w:rPr>
          <w:rFonts w:ascii="Arial" w:hAnsi="Arial" w:cs="Arial"/>
          <w:sz w:val="24"/>
          <w:szCs w:val="24"/>
        </w:rPr>
        <w:t>7</w:t>
      </w:r>
      <w:r w:rsidRPr="00C44B09">
        <w:rPr>
          <w:rFonts w:ascii="Arial" w:hAnsi="Arial" w:cs="Arial"/>
          <w:sz w:val="24"/>
          <w:szCs w:val="24"/>
        </w:rPr>
        <w:t>0 %;</w:t>
      </w:r>
    </w:p>
    <w:p w14:paraId="3B011240" w14:textId="77777777"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Grau de proteção: IP igual ou superior a IP66; </w:t>
      </w:r>
    </w:p>
    <w:p w14:paraId="3325F5FF" w14:textId="77777777"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Corpo em alumínio injetado a alta pressão;</w:t>
      </w:r>
    </w:p>
    <w:p w14:paraId="525AFBD2" w14:textId="129408A4"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Eficácia luminosa igual ou superior a 1</w:t>
      </w:r>
      <w:r w:rsidR="001E577A">
        <w:rPr>
          <w:rFonts w:ascii="Arial" w:hAnsi="Arial" w:cs="Arial"/>
          <w:sz w:val="24"/>
          <w:szCs w:val="24"/>
        </w:rPr>
        <w:t>5</w:t>
      </w:r>
      <w:r w:rsidRPr="00C44B09">
        <w:rPr>
          <w:rFonts w:ascii="Arial" w:hAnsi="Arial" w:cs="Arial"/>
          <w:sz w:val="24"/>
          <w:szCs w:val="24"/>
        </w:rPr>
        <w:t>0 lm/W</w:t>
      </w:r>
      <w:r w:rsidR="001E577A">
        <w:rPr>
          <w:rFonts w:ascii="Arial" w:hAnsi="Arial" w:cs="Arial"/>
          <w:sz w:val="24"/>
          <w:szCs w:val="24"/>
        </w:rPr>
        <w:t xml:space="preserve"> ensaiada</w:t>
      </w:r>
      <w:r w:rsidRPr="00C44B09">
        <w:rPr>
          <w:rFonts w:ascii="Arial" w:hAnsi="Arial" w:cs="Arial"/>
          <w:sz w:val="24"/>
          <w:szCs w:val="24"/>
        </w:rPr>
        <w:t>;</w:t>
      </w:r>
    </w:p>
    <w:p w14:paraId="077B8C5F" w14:textId="6A13BB74" w:rsidR="00BB44EE" w:rsidRPr="00C44B09" w:rsidRDefault="00FD6592" w:rsidP="00BB44EE">
      <w:pPr>
        <w:pStyle w:val="PargrafodaLista"/>
        <w:numPr>
          <w:ilvl w:val="0"/>
          <w:numId w:val="11"/>
        </w:numPr>
        <w:jc w:val="both"/>
        <w:rPr>
          <w:rFonts w:ascii="Arial" w:hAnsi="Arial" w:cs="Arial"/>
          <w:sz w:val="24"/>
          <w:szCs w:val="24"/>
        </w:rPr>
      </w:pPr>
      <w:r w:rsidRPr="00C44B09">
        <w:rPr>
          <w:rFonts w:ascii="Arial" w:hAnsi="Arial" w:cs="Arial"/>
          <w:sz w:val="24"/>
          <w:szCs w:val="24"/>
        </w:rPr>
        <w:t>Fator de potência igual ou superior a 0,9</w:t>
      </w:r>
      <w:r w:rsidR="000E5462" w:rsidRPr="00C44B09">
        <w:rPr>
          <w:rFonts w:ascii="Arial" w:hAnsi="Arial" w:cs="Arial"/>
          <w:sz w:val="24"/>
          <w:szCs w:val="24"/>
        </w:rPr>
        <w:t>7</w:t>
      </w:r>
      <w:r w:rsidRPr="00C44B09">
        <w:rPr>
          <w:rFonts w:ascii="Arial" w:hAnsi="Arial" w:cs="Arial"/>
          <w:sz w:val="24"/>
          <w:szCs w:val="24"/>
        </w:rPr>
        <w:t>;</w:t>
      </w:r>
    </w:p>
    <w:p w14:paraId="29C4CD43" w14:textId="77777777" w:rsidR="00BB44EE" w:rsidRPr="00C44B09" w:rsidRDefault="00FD6592" w:rsidP="00BB44EE">
      <w:pPr>
        <w:pStyle w:val="PargrafodaLista"/>
        <w:numPr>
          <w:ilvl w:val="0"/>
          <w:numId w:val="11"/>
        </w:numPr>
        <w:jc w:val="both"/>
        <w:rPr>
          <w:rFonts w:ascii="Arial" w:hAnsi="Arial" w:cs="Arial"/>
          <w:b/>
          <w:sz w:val="24"/>
          <w:szCs w:val="24"/>
        </w:rPr>
      </w:pPr>
      <w:r w:rsidRPr="00C44B09">
        <w:rPr>
          <w:rFonts w:ascii="Arial" w:hAnsi="Arial" w:cs="Arial"/>
          <w:sz w:val="24"/>
          <w:szCs w:val="24"/>
        </w:rPr>
        <w:t xml:space="preserve">Distorção harmônica total (THD) de corrente inferior a 10%. </w:t>
      </w:r>
    </w:p>
    <w:p w14:paraId="14A6ADBB" w14:textId="77777777" w:rsidR="00FB4868" w:rsidRPr="00C44B09" w:rsidRDefault="00FB4868" w:rsidP="00BB44EE">
      <w:pPr>
        <w:pStyle w:val="PargrafodaLista"/>
        <w:ind w:left="0"/>
        <w:jc w:val="both"/>
        <w:rPr>
          <w:rFonts w:ascii="Arial" w:hAnsi="Arial" w:cs="Arial"/>
          <w:b/>
          <w:sz w:val="24"/>
          <w:szCs w:val="24"/>
        </w:rPr>
      </w:pPr>
    </w:p>
    <w:p w14:paraId="7E035861" w14:textId="2DEDBE34" w:rsidR="00083CAD" w:rsidRPr="00C44B09" w:rsidRDefault="00083CAD" w:rsidP="00BB44EE">
      <w:pPr>
        <w:pStyle w:val="PargrafodaLista"/>
        <w:ind w:left="0"/>
        <w:jc w:val="both"/>
        <w:rPr>
          <w:rFonts w:ascii="Arial" w:hAnsi="Arial" w:cs="Arial"/>
          <w:b/>
          <w:sz w:val="24"/>
          <w:szCs w:val="24"/>
        </w:rPr>
      </w:pPr>
      <w:r w:rsidRPr="00C44B09">
        <w:rPr>
          <w:rFonts w:ascii="Arial" w:hAnsi="Arial" w:cs="Arial"/>
          <w:b/>
          <w:sz w:val="24"/>
          <w:szCs w:val="24"/>
        </w:rPr>
        <w:t>I</w:t>
      </w:r>
      <w:r w:rsidR="00FD6592" w:rsidRPr="00C44B09">
        <w:rPr>
          <w:rFonts w:ascii="Arial" w:hAnsi="Arial" w:cs="Arial"/>
          <w:b/>
          <w:sz w:val="24"/>
          <w:szCs w:val="24"/>
        </w:rPr>
        <w:t xml:space="preserve">nvestimento </w:t>
      </w:r>
    </w:p>
    <w:p w14:paraId="616287A8" w14:textId="77777777" w:rsidR="007E31DA" w:rsidRPr="00C44B09" w:rsidRDefault="00FD6592" w:rsidP="00BB44EE">
      <w:pPr>
        <w:jc w:val="both"/>
        <w:rPr>
          <w:rFonts w:ascii="Arial" w:hAnsi="Arial" w:cs="Arial"/>
          <w:sz w:val="24"/>
          <w:szCs w:val="24"/>
        </w:rPr>
      </w:pPr>
      <w:r w:rsidRPr="00C44B09">
        <w:rPr>
          <w:rFonts w:ascii="Arial" w:hAnsi="Arial" w:cs="Arial"/>
          <w:sz w:val="24"/>
          <w:szCs w:val="24"/>
        </w:rPr>
        <w:t xml:space="preserve">Conforme pode ser verificado nas Figuras 2.18 e 2.19, estudos realizados pelo Departamento de energia dos Estados Unidos – DOE, mostram que valores de investimento para a inserção da tecnologia LED tendem a cair ao longo do tempo o que levará os LEDs a substituir as tecnologias convencionais, a exemplo das lâmpadas de descarga, em um espaço de tempo relativamente curto.  </w:t>
      </w:r>
    </w:p>
    <w:p w14:paraId="0EE5B044" w14:textId="7C67DDCF"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79613609" wp14:editId="63F3A9A1">
            <wp:extent cx="4805998" cy="2847999"/>
            <wp:effectExtent l="0" t="0" r="0"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38124" cy="2867037"/>
                    </a:xfrm>
                    <a:prstGeom prst="rect">
                      <a:avLst/>
                    </a:prstGeom>
                    <a:noFill/>
                    <a:ln>
                      <a:noFill/>
                    </a:ln>
                  </pic:spPr>
                </pic:pic>
              </a:graphicData>
            </a:graphic>
          </wp:inline>
        </w:drawing>
      </w:r>
    </w:p>
    <w:p w14:paraId="1CA7DF6C" w14:textId="77777777" w:rsidR="00BB44EE"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6E0A1FB3" wp14:editId="00A6F661">
            <wp:extent cx="5045075" cy="3559136"/>
            <wp:effectExtent l="0" t="0" r="3175" b="381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52199" cy="3564162"/>
                    </a:xfrm>
                    <a:prstGeom prst="rect">
                      <a:avLst/>
                    </a:prstGeom>
                    <a:noFill/>
                    <a:ln>
                      <a:noFill/>
                    </a:ln>
                  </pic:spPr>
                </pic:pic>
              </a:graphicData>
            </a:graphic>
          </wp:inline>
        </w:drawing>
      </w:r>
    </w:p>
    <w:p w14:paraId="47C500A7" w14:textId="1A84A446" w:rsidR="00515162" w:rsidRPr="00C44B09" w:rsidRDefault="00515162" w:rsidP="00214021">
      <w:pPr>
        <w:pStyle w:val="PargrafodaLista"/>
        <w:ind w:left="0"/>
        <w:jc w:val="both"/>
        <w:rPr>
          <w:rFonts w:ascii="Arial" w:hAnsi="Arial" w:cs="Arial"/>
          <w:b/>
          <w:sz w:val="24"/>
          <w:szCs w:val="24"/>
        </w:rPr>
      </w:pPr>
      <w:r w:rsidRPr="00C44B09">
        <w:rPr>
          <w:rFonts w:ascii="Arial" w:hAnsi="Arial" w:cs="Arial"/>
          <w:b/>
          <w:sz w:val="24"/>
          <w:szCs w:val="24"/>
        </w:rPr>
        <w:t>Efetividade de Iluminação Sódio x LED</w:t>
      </w:r>
    </w:p>
    <w:p w14:paraId="6B5C4F5B" w14:textId="77777777" w:rsidR="00515162" w:rsidRPr="00C44B09" w:rsidRDefault="00515162" w:rsidP="00515162">
      <w:pPr>
        <w:rPr>
          <w:rFonts w:ascii="Arial" w:hAnsi="Arial" w:cs="Arial"/>
          <w:noProof/>
          <w:sz w:val="24"/>
          <w:szCs w:val="24"/>
        </w:rPr>
      </w:pPr>
    </w:p>
    <w:p w14:paraId="29FFE378" w14:textId="77777777" w:rsidR="00515162" w:rsidRPr="00C44B09" w:rsidRDefault="00515162" w:rsidP="00214021">
      <w:pPr>
        <w:jc w:val="center"/>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4F130408" wp14:editId="7CDFCFE6">
            <wp:extent cx="4895850" cy="2309526"/>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04603" cy="2313655"/>
                    </a:xfrm>
                    <a:prstGeom prst="rect">
                      <a:avLst/>
                    </a:prstGeom>
                    <a:noFill/>
                    <a:ln>
                      <a:noFill/>
                    </a:ln>
                  </pic:spPr>
                </pic:pic>
              </a:graphicData>
            </a:graphic>
          </wp:inline>
        </w:drawing>
      </w:r>
    </w:p>
    <w:p w14:paraId="473EB4B9" w14:textId="77777777" w:rsidR="00214021" w:rsidRPr="00C44B09" w:rsidRDefault="00214021" w:rsidP="00515162">
      <w:pPr>
        <w:rPr>
          <w:rFonts w:ascii="Arial" w:hAnsi="Arial" w:cs="Arial"/>
          <w:sz w:val="24"/>
          <w:szCs w:val="24"/>
        </w:rPr>
      </w:pPr>
    </w:p>
    <w:p w14:paraId="4D6B4A05" w14:textId="26EAB57D" w:rsidR="00214021" w:rsidRPr="00C44B09" w:rsidRDefault="00214021" w:rsidP="00214021">
      <w:pPr>
        <w:jc w:val="both"/>
        <w:rPr>
          <w:rFonts w:ascii="Arial" w:hAnsi="Arial" w:cs="Arial"/>
          <w:noProof/>
          <w:sz w:val="24"/>
          <w:szCs w:val="24"/>
          <w:lang w:val="en-US"/>
        </w:rPr>
      </w:pPr>
      <w:r w:rsidRPr="00C44B09">
        <w:rPr>
          <w:rFonts w:ascii="Arial" w:hAnsi="Arial" w:cs="Arial"/>
          <w:sz w:val="24"/>
          <w:szCs w:val="24"/>
        </w:rPr>
        <w:t>O gráfico mostra que mesmo com um fluxo declarado, a efetividade de iluminação, contando todas as perdas energéticas, fotométricas e dissipa</w:t>
      </w:r>
      <w:r w:rsidR="00A61548" w:rsidRPr="00C44B09">
        <w:rPr>
          <w:rFonts w:ascii="Arial" w:hAnsi="Arial" w:cs="Arial"/>
          <w:sz w:val="24"/>
          <w:szCs w:val="24"/>
        </w:rPr>
        <w:t>tivas</w:t>
      </w:r>
      <w:r w:rsidRPr="00C44B09">
        <w:rPr>
          <w:rFonts w:ascii="Arial" w:hAnsi="Arial" w:cs="Arial"/>
          <w:sz w:val="24"/>
          <w:szCs w:val="24"/>
        </w:rPr>
        <w:t>, para o caso de Sódio é de 25%, enquanto a do LED é de 75%, desta forma, existe um comparativo que pode se utilizar para determinar comparativos mais próximos.</w:t>
      </w:r>
      <w:r w:rsidR="00471B40" w:rsidRPr="00C44B09">
        <w:rPr>
          <w:rFonts w:ascii="Arial" w:hAnsi="Arial" w:cs="Arial"/>
          <w:noProof/>
          <w:sz w:val="24"/>
          <w:szCs w:val="24"/>
          <w:lang w:val="en-US"/>
        </w:rPr>
        <w:t xml:space="preserve"> </w:t>
      </w:r>
    </w:p>
    <w:p w14:paraId="7C897702" w14:textId="77777777" w:rsidR="00A460A0" w:rsidRPr="00C44B09" w:rsidRDefault="00A460A0" w:rsidP="00FB4868">
      <w:pPr>
        <w:pStyle w:val="Ttulo1"/>
        <w:numPr>
          <w:ilvl w:val="0"/>
          <w:numId w:val="20"/>
        </w:numPr>
        <w:spacing w:before="360" w:after="360"/>
        <w:ind w:left="993"/>
        <w:rPr>
          <w:rFonts w:cs="Arial"/>
          <w:bCs/>
          <w:sz w:val="24"/>
          <w:szCs w:val="24"/>
        </w:rPr>
        <w:sectPr w:rsidR="00A460A0" w:rsidRPr="00C44B09" w:rsidSect="00220F47">
          <w:pgSz w:w="11906" w:h="16838"/>
          <w:pgMar w:top="1417" w:right="1701" w:bottom="1417" w:left="1701" w:header="708" w:footer="708" w:gutter="0"/>
          <w:cols w:space="708"/>
          <w:docGrid w:linePitch="360"/>
        </w:sectPr>
      </w:pPr>
      <w:bookmarkStart w:id="29" w:name="_Toc34225756"/>
    </w:p>
    <w:p w14:paraId="6F32E6FB" w14:textId="25B71ABC" w:rsidR="00083CAD" w:rsidRPr="00C44B09" w:rsidRDefault="00083CAD" w:rsidP="00CB6EDA">
      <w:pPr>
        <w:pStyle w:val="Ttulo1"/>
        <w:numPr>
          <w:ilvl w:val="0"/>
          <w:numId w:val="20"/>
        </w:numPr>
        <w:spacing w:before="360" w:after="120"/>
        <w:ind w:left="993"/>
        <w:rPr>
          <w:rFonts w:cs="Arial"/>
          <w:bCs/>
          <w:sz w:val="24"/>
          <w:szCs w:val="24"/>
        </w:rPr>
      </w:pPr>
      <w:bookmarkStart w:id="30" w:name="_Toc149225892"/>
      <w:r w:rsidRPr="00C44B09">
        <w:rPr>
          <w:rFonts w:cs="Arial"/>
          <w:bCs/>
          <w:sz w:val="24"/>
          <w:szCs w:val="24"/>
        </w:rPr>
        <w:lastRenderedPageBreak/>
        <w:t>REQUISITOS BÁSICOS PARA ILUMINAÇÃO DE VIAS PÚBLICAS</w:t>
      </w:r>
      <w:bookmarkEnd w:id="29"/>
      <w:bookmarkEnd w:id="30"/>
      <w:r w:rsidRPr="00C44B09">
        <w:rPr>
          <w:rFonts w:cs="Arial"/>
          <w:bCs/>
          <w:sz w:val="24"/>
          <w:szCs w:val="24"/>
        </w:rPr>
        <w:t xml:space="preserve"> </w:t>
      </w:r>
    </w:p>
    <w:p w14:paraId="0ED42698" w14:textId="10B53E38" w:rsidR="00083CAD" w:rsidRPr="00C44B09" w:rsidRDefault="00083CAD" w:rsidP="00CD2EBD">
      <w:pPr>
        <w:rPr>
          <w:rFonts w:ascii="Arial" w:hAnsi="Arial" w:cs="Arial"/>
          <w:b/>
          <w:bCs/>
          <w:sz w:val="24"/>
          <w:szCs w:val="24"/>
        </w:rPr>
      </w:pPr>
      <w:bookmarkStart w:id="31" w:name="_Toc34225757"/>
      <w:r w:rsidRPr="00C44B09">
        <w:rPr>
          <w:rFonts w:ascii="Arial" w:hAnsi="Arial" w:cs="Arial"/>
          <w:b/>
          <w:bCs/>
          <w:sz w:val="24"/>
          <w:szCs w:val="24"/>
        </w:rPr>
        <w:t>INTRODUÇÃO</w:t>
      </w:r>
      <w:bookmarkEnd w:id="31"/>
      <w:r w:rsidRPr="00C44B09">
        <w:rPr>
          <w:rFonts w:ascii="Arial" w:hAnsi="Arial" w:cs="Arial"/>
          <w:b/>
          <w:bCs/>
          <w:sz w:val="24"/>
          <w:szCs w:val="24"/>
        </w:rPr>
        <w:t xml:space="preserve"> </w:t>
      </w:r>
    </w:p>
    <w:p w14:paraId="7D8359E1" w14:textId="77777777" w:rsidR="00FB4868" w:rsidRPr="00C44B09" w:rsidRDefault="00083CAD" w:rsidP="00BB44EE">
      <w:pPr>
        <w:jc w:val="both"/>
        <w:rPr>
          <w:rFonts w:ascii="Arial" w:hAnsi="Arial" w:cs="Arial"/>
          <w:sz w:val="24"/>
          <w:szCs w:val="24"/>
        </w:rPr>
      </w:pPr>
      <w:r w:rsidRPr="00C44B09">
        <w:rPr>
          <w:rFonts w:ascii="Arial" w:hAnsi="Arial" w:cs="Arial"/>
          <w:sz w:val="24"/>
          <w:szCs w:val="24"/>
        </w:rPr>
        <w:t xml:space="preserve">Um sistema de iluminação pública deve satisfazer a um conjunto de requisitos fotométricos para atender as necessidades visuais dos seus usuários, de acordo com o tipo e as características peculiares de cada logradouro. </w:t>
      </w:r>
    </w:p>
    <w:p w14:paraId="5AB81B79" w14:textId="331C187B"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Na iluminação de vias para veículos motorizados, o principal objetivo é produzir uma rápida, precisa e confortável visão no período noturno, permitindo o trânsito com segurança. No caso de áreas residenciais e vias exclusivas para pedestres, é necessário obter-se níveis específicos de iluminância de modo a orientar o deslocamento das pessoas durante a noite, favorecendo a segurança dos cidadãos.  </w:t>
      </w:r>
    </w:p>
    <w:p w14:paraId="6402C998" w14:textId="0FE25F64"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BREVE HISTÓRICO </w:t>
      </w:r>
    </w:p>
    <w:p w14:paraId="59FCC7D9" w14:textId="7A72332D"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iluminação de vias públicas remonta ao Império Romano, onde já se utilizava lampiões fixados ao lado das portas para iluminar as ruas. Com o crescimento das cidades e o advento da eletricidade, a importância da iluminação na sociedade aumentou e, com ela, a proliferação e o refinamento das fontes luminosas.  </w:t>
      </w:r>
    </w:p>
    <w:p w14:paraId="518BC4CB" w14:textId="0A2239DD"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Historicamente, a iluminação pública de ruas começou baseada em conceitos de segurança individual e da propriedade; posteriormente, na necessidade de identificação do cidadão dentro da comunidade e de sua participação em atividades públicas. Finalmente, com a invenção do automóvel, a iluminação pública veio contribuir para a sinalização e orientação do tráfego automobilístico. </w:t>
      </w:r>
    </w:p>
    <w:p w14:paraId="7A098E56" w14:textId="282C4B1D"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CONCEITOS BÁSICOS DA LUZ E VISÃO </w:t>
      </w:r>
    </w:p>
    <w:p w14:paraId="5BA67D57" w14:textId="0A639A83"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luz é um atributo indispensável a todas as percepções e sensações que são peculiares ao sistema visual e que existe independentemente de que nós a vejamos. Como um fenômeno físico, apresenta propriedades muito particulares e está relacionada com as ondas eletromagnéticas e seus comprimentos.  </w:t>
      </w:r>
    </w:p>
    <w:p w14:paraId="1D235570" w14:textId="2D3A8C19"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Quando se trata de luminotécnica, interessa conhecer as radiações eletromagnéticas capazes de causar uma sensação visual direta, ou seja, as radiações visíveis, que são representadas graficamente no espectro eletromagnético mostrado na Figura 3.1.  </w:t>
      </w:r>
    </w:p>
    <w:p w14:paraId="6F917390" w14:textId="77777777" w:rsidR="00083CAD" w:rsidRPr="00C44B09" w:rsidRDefault="00083CAD" w:rsidP="00B404CD">
      <w:pPr>
        <w:jc w:val="center"/>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60085A86" wp14:editId="57ED301D">
            <wp:extent cx="3829050" cy="1858216"/>
            <wp:effectExtent l="0" t="0" r="0" b="889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65541" cy="1875925"/>
                    </a:xfrm>
                    <a:prstGeom prst="rect">
                      <a:avLst/>
                    </a:prstGeom>
                    <a:noFill/>
                    <a:ln>
                      <a:noFill/>
                    </a:ln>
                  </pic:spPr>
                </pic:pic>
              </a:graphicData>
            </a:graphic>
          </wp:inline>
        </w:drawing>
      </w:r>
    </w:p>
    <w:p w14:paraId="3A0B5F43" w14:textId="654FF681"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Observa-se que as radiações visíveis compreendem uma pequena faixa de ondas do espectro eletromagnético com comprimento, aproximadamente, entre 380 e 780 nanômetros [nm], [1 nm = 10-9 m]. Para que ocorra o fenômeno da visão, é necessário que o olho absorva a luz e transmita ao cérebro a informação captada. A VISÃO, </w:t>
      </w:r>
      <w:r w:rsidR="00FC2BB8" w:rsidRPr="00C44B09">
        <w:rPr>
          <w:rFonts w:ascii="Arial" w:hAnsi="Arial" w:cs="Arial"/>
          <w:sz w:val="24"/>
          <w:szCs w:val="24"/>
        </w:rPr>
        <w:t>portanto,</w:t>
      </w:r>
      <w:r w:rsidRPr="00C44B09">
        <w:rPr>
          <w:rFonts w:ascii="Arial" w:hAnsi="Arial" w:cs="Arial"/>
          <w:sz w:val="24"/>
          <w:szCs w:val="24"/>
        </w:rPr>
        <w:t xml:space="preserve"> pode ser definida como a apreciação de imagens produzidas pelas radiações visíveis recebidas pelos olhos. </w:t>
      </w:r>
    </w:p>
    <w:p w14:paraId="6152623B" w14:textId="36E65E30" w:rsidR="00083CAD" w:rsidRPr="00C44B09" w:rsidRDefault="00083CAD" w:rsidP="00BB44EE">
      <w:pPr>
        <w:jc w:val="both"/>
        <w:rPr>
          <w:rFonts w:ascii="Arial" w:hAnsi="Arial" w:cs="Arial"/>
          <w:b/>
          <w:sz w:val="24"/>
          <w:szCs w:val="24"/>
        </w:rPr>
      </w:pPr>
      <w:r w:rsidRPr="00C44B09">
        <w:rPr>
          <w:rFonts w:ascii="Arial" w:hAnsi="Arial" w:cs="Arial"/>
          <w:sz w:val="24"/>
          <w:szCs w:val="24"/>
        </w:rPr>
        <w:t xml:space="preserve"> </w:t>
      </w:r>
      <w:r w:rsidRPr="00C44B09">
        <w:rPr>
          <w:rFonts w:ascii="Arial" w:hAnsi="Arial" w:cs="Arial"/>
          <w:b/>
          <w:sz w:val="24"/>
          <w:szCs w:val="24"/>
        </w:rPr>
        <w:t xml:space="preserve">CARACTERÍSTICAS DO SISTEMA VISUAL </w:t>
      </w:r>
    </w:p>
    <w:p w14:paraId="308F69EB" w14:textId="5F963621"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Curvas de Sensibilidade Espectral  </w:t>
      </w:r>
    </w:p>
    <w:p w14:paraId="08DF3936" w14:textId="20A76D6D" w:rsidR="00BB44EE" w:rsidRPr="00C44B09" w:rsidRDefault="00083CAD" w:rsidP="00BB44EE">
      <w:pPr>
        <w:jc w:val="both"/>
        <w:rPr>
          <w:rFonts w:ascii="Arial" w:hAnsi="Arial" w:cs="Arial"/>
          <w:sz w:val="24"/>
          <w:szCs w:val="24"/>
        </w:rPr>
      </w:pPr>
      <w:r w:rsidRPr="00C44B09">
        <w:rPr>
          <w:rFonts w:ascii="Arial" w:hAnsi="Arial" w:cs="Arial"/>
          <w:sz w:val="24"/>
          <w:szCs w:val="24"/>
        </w:rPr>
        <w:t xml:space="preserve">O conhecimento de determinadas características do sistema visual é necessário aos projetistas de iluminação pública, considerando que a sensibilidade do olho humano varia de acordo com as intensidades luminosas e com as impressões de cor. Essas variações dependem do comprimento de onda de cada radiação visível, e podem ser representadas através das Curvas de Sensibilidade Espectral, conforme ilustrado na Figura 3.2. </w:t>
      </w:r>
    </w:p>
    <w:p w14:paraId="76A2821D"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 </w:t>
      </w:r>
    </w:p>
    <w:p w14:paraId="536686E6" w14:textId="77777777" w:rsidR="00083CAD" w:rsidRPr="00C44B09" w:rsidRDefault="00083CAD" w:rsidP="00FA2D96">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1279E853" wp14:editId="1D18698F">
            <wp:extent cx="4650740" cy="2427899"/>
            <wp:effectExtent l="0" t="0" r="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86575" cy="2446606"/>
                    </a:xfrm>
                    <a:prstGeom prst="rect">
                      <a:avLst/>
                    </a:prstGeom>
                    <a:noFill/>
                    <a:ln>
                      <a:noFill/>
                    </a:ln>
                  </pic:spPr>
                </pic:pic>
              </a:graphicData>
            </a:graphic>
          </wp:inline>
        </w:drawing>
      </w:r>
    </w:p>
    <w:p w14:paraId="1F5202D8" w14:textId="44614E28"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A curva da visão </w:t>
      </w:r>
      <w:r w:rsidR="00FC2BB8" w:rsidRPr="00C44B09">
        <w:rPr>
          <w:rFonts w:ascii="Arial" w:hAnsi="Arial" w:cs="Arial"/>
          <w:sz w:val="24"/>
          <w:szCs w:val="24"/>
        </w:rPr>
        <w:t>fotóptica</w:t>
      </w:r>
      <w:r w:rsidRPr="00C44B09">
        <w:rPr>
          <w:rFonts w:ascii="Arial" w:hAnsi="Arial" w:cs="Arial"/>
          <w:sz w:val="24"/>
          <w:szCs w:val="24"/>
        </w:rPr>
        <w:t>, representa a resposta do olho humano à luz em níveis de iluminância altos ou diurnos. Nesse caso, o pico de sensibilidade visual se dá na região de 550 nm, na cor amarelo esverdeado. A curva da visão escotóp</w:t>
      </w:r>
      <w:r w:rsidR="00FC2BB8" w:rsidRPr="00C44B09">
        <w:rPr>
          <w:rFonts w:ascii="Arial" w:hAnsi="Arial" w:cs="Arial"/>
          <w:sz w:val="24"/>
          <w:szCs w:val="24"/>
        </w:rPr>
        <w:t>t</w:t>
      </w:r>
      <w:r w:rsidRPr="00C44B09">
        <w:rPr>
          <w:rFonts w:ascii="Arial" w:hAnsi="Arial" w:cs="Arial"/>
          <w:sz w:val="24"/>
          <w:szCs w:val="24"/>
        </w:rPr>
        <w:t xml:space="preserve">ica, representa a resposta do olho humano à luz em níveis de iluminância baixos ou noturnos.  </w:t>
      </w:r>
    </w:p>
    <w:p w14:paraId="3704E43D" w14:textId="149F9B8E" w:rsidR="00FA2D96" w:rsidRPr="00C44B09" w:rsidRDefault="00083CAD" w:rsidP="00BB44EE">
      <w:pPr>
        <w:jc w:val="both"/>
        <w:rPr>
          <w:rFonts w:ascii="Arial" w:hAnsi="Arial" w:cs="Arial"/>
          <w:sz w:val="24"/>
          <w:szCs w:val="24"/>
        </w:rPr>
      </w:pPr>
      <w:r w:rsidRPr="00C44B09">
        <w:rPr>
          <w:rFonts w:ascii="Arial" w:hAnsi="Arial" w:cs="Arial"/>
          <w:sz w:val="24"/>
          <w:szCs w:val="24"/>
        </w:rPr>
        <w:t xml:space="preserve">É importante notar, na mudança de altos para baixos níveis de iluminância, o deslocamento do pico de sensibilidade visual da região amarelo esverdeado (curva </w:t>
      </w:r>
      <w:r w:rsidR="00FC2BB8" w:rsidRPr="00C44B09">
        <w:rPr>
          <w:rFonts w:ascii="Arial" w:hAnsi="Arial" w:cs="Arial"/>
          <w:sz w:val="24"/>
          <w:szCs w:val="24"/>
        </w:rPr>
        <w:t>fotóptica</w:t>
      </w:r>
      <w:r w:rsidRPr="00C44B09">
        <w:rPr>
          <w:rFonts w:ascii="Arial" w:hAnsi="Arial" w:cs="Arial"/>
          <w:sz w:val="24"/>
          <w:szCs w:val="24"/>
        </w:rPr>
        <w:t xml:space="preserve">), para a região esverdeada de 500 nm (curva escotópica), e </w:t>
      </w:r>
      <w:r w:rsidR="005A5F90" w:rsidRPr="00C44B09">
        <w:rPr>
          <w:rFonts w:ascii="Arial" w:hAnsi="Arial" w:cs="Arial"/>
          <w:sz w:val="24"/>
          <w:szCs w:val="24"/>
        </w:rPr>
        <w:t>vice-versa</w:t>
      </w:r>
      <w:r w:rsidRPr="00C44B09">
        <w:rPr>
          <w:rFonts w:ascii="Arial" w:hAnsi="Arial" w:cs="Arial"/>
          <w:sz w:val="24"/>
          <w:szCs w:val="24"/>
        </w:rPr>
        <w:t xml:space="preserve">. O conhecimento desse fenômeno, denominado efeito “Purkinje”, é de peculiar interesse nos projetos de iluminação pública, conforme será visto no item Funções Desempenhadas pela Visão. </w:t>
      </w:r>
    </w:p>
    <w:p w14:paraId="4CC5AB25" w14:textId="40E1F1C5"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Campo Visual </w:t>
      </w:r>
    </w:p>
    <w:p w14:paraId="564389E6" w14:textId="4C964CB8"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Na iluminação pública deve-se evitar situações em que o foco de luz incida diretamente na visão dos usuários, provocando o ofuscamento. Isso pode ser evitado através do controle dos níveis de iluminância no campo visual.  </w:t>
      </w:r>
    </w:p>
    <w:p w14:paraId="780E2620" w14:textId="6130A55C" w:rsidR="00083CAD" w:rsidRPr="00C44B09" w:rsidRDefault="00FB4868" w:rsidP="00BB44EE">
      <w:pPr>
        <w:jc w:val="both"/>
        <w:rPr>
          <w:rFonts w:ascii="Arial" w:hAnsi="Arial" w:cs="Arial"/>
          <w:sz w:val="24"/>
          <w:szCs w:val="24"/>
        </w:rPr>
      </w:pPr>
      <w:r w:rsidRPr="00C44B09">
        <w:rPr>
          <w:rFonts w:ascii="Arial" w:hAnsi="Arial" w:cs="Arial"/>
          <w:sz w:val="24"/>
          <w:szCs w:val="24"/>
        </w:rPr>
        <w:t>C</w:t>
      </w:r>
      <w:r w:rsidR="00083CAD" w:rsidRPr="00C44B09">
        <w:rPr>
          <w:rFonts w:ascii="Arial" w:hAnsi="Arial" w:cs="Arial"/>
          <w:sz w:val="24"/>
          <w:szCs w:val="24"/>
        </w:rPr>
        <w:t>ampo visual pode ser definido como a extensão angular do espaço no qual um objeto pode ser percebido, quando a cabeça e os olhos estão parados. Em outras palavras, é o limite do alcance da visão de cada olho, e do campo binocular, relativo a ambos os olhos. A Figura 3.3 ilustra esses limites.</w:t>
      </w:r>
    </w:p>
    <w:p w14:paraId="51D99734"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4A5D9B4E" wp14:editId="041BD2CF">
            <wp:extent cx="5391150" cy="2419350"/>
            <wp:effectExtent l="0" t="0" r="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91150" cy="2419350"/>
                    </a:xfrm>
                    <a:prstGeom prst="rect">
                      <a:avLst/>
                    </a:prstGeom>
                    <a:noFill/>
                    <a:ln>
                      <a:noFill/>
                    </a:ln>
                  </pic:spPr>
                </pic:pic>
              </a:graphicData>
            </a:graphic>
          </wp:inline>
        </w:drawing>
      </w:r>
    </w:p>
    <w:p w14:paraId="238A9037"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Observa-se que a visão humana alcança num plano vertical (AA’), paralelo e na altura dos olhos, 60 graus acima e 70 graus abaixo, e, num plano horizontal (BB’), no campo binocular, aproximadamente 120 graus. </w:t>
      </w:r>
    </w:p>
    <w:p w14:paraId="15CB5E28" w14:textId="40514B5F"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Funções Desempenhadas pela Visão  </w:t>
      </w:r>
    </w:p>
    <w:p w14:paraId="35E7E5A5"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sistema visual humano é capaz de desempenhar ajustes para melhorar o seu desempenho. Para os projetistas de iluminação pública, em particular, o conhecimento de três funções é importante: </w:t>
      </w:r>
    </w:p>
    <w:p w14:paraId="1C61BEDD" w14:textId="7702C520" w:rsidR="00BB44EE"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a) Adaptação; </w:t>
      </w:r>
    </w:p>
    <w:p w14:paraId="6CE3E88B" w14:textId="77777777" w:rsidR="00BB44EE" w:rsidRPr="00C44B09" w:rsidRDefault="00083CAD" w:rsidP="00BB44EE">
      <w:pPr>
        <w:jc w:val="both"/>
        <w:rPr>
          <w:rFonts w:ascii="Arial" w:hAnsi="Arial" w:cs="Arial"/>
          <w:sz w:val="24"/>
          <w:szCs w:val="24"/>
        </w:rPr>
      </w:pPr>
      <w:r w:rsidRPr="00C44B09">
        <w:rPr>
          <w:rFonts w:ascii="Arial" w:hAnsi="Arial" w:cs="Arial"/>
          <w:sz w:val="24"/>
          <w:szCs w:val="24"/>
        </w:rPr>
        <w:t>b) Acomodação</w:t>
      </w:r>
      <w:r w:rsidR="00BB44EE" w:rsidRPr="00C44B09">
        <w:rPr>
          <w:rFonts w:ascii="Arial" w:hAnsi="Arial" w:cs="Arial"/>
          <w:sz w:val="24"/>
          <w:szCs w:val="24"/>
        </w:rPr>
        <w:t>;</w:t>
      </w:r>
    </w:p>
    <w:p w14:paraId="7E5D088A"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c) Acuidade visual. </w:t>
      </w:r>
    </w:p>
    <w:p w14:paraId="521D93A3" w14:textId="09C540F9"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a) Adaptação </w:t>
      </w:r>
    </w:p>
    <w:p w14:paraId="53B5B7A5" w14:textId="6F5A528B"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Adaptação é o processo pelo qual o estado do sistema visual modifica-se quando exposto a estímulos com luminosidade e distribuição espectral variáveis. Em outras palavras, se refere à maneira como o olho humano acostuma-se às contínuas e diferentes intensidades de luz e de cor.  </w:t>
      </w:r>
    </w:p>
    <w:p w14:paraId="7D531033" w14:textId="79D7B67A" w:rsidR="00083CAD" w:rsidRPr="00C44B09" w:rsidRDefault="00083CAD" w:rsidP="00BB44EE">
      <w:pPr>
        <w:jc w:val="both"/>
        <w:rPr>
          <w:rFonts w:ascii="Arial" w:hAnsi="Arial" w:cs="Arial"/>
          <w:sz w:val="24"/>
          <w:szCs w:val="24"/>
        </w:rPr>
      </w:pPr>
      <w:r w:rsidRPr="00C44B09">
        <w:rPr>
          <w:rFonts w:ascii="Arial" w:hAnsi="Arial" w:cs="Arial"/>
          <w:sz w:val="24"/>
          <w:szCs w:val="24"/>
        </w:rPr>
        <w:t>Considerando que a visão necessita de certo tempo para se adaptar a diferentes níveis de luminosidade, na passagem da visão fotópica para escotópica e vice</w:t>
      </w:r>
      <w:r w:rsidR="00FC2BB8" w:rsidRPr="00C44B09">
        <w:rPr>
          <w:rFonts w:ascii="Arial" w:hAnsi="Arial" w:cs="Arial"/>
          <w:sz w:val="24"/>
          <w:szCs w:val="24"/>
        </w:rPr>
        <w:t xml:space="preserve"> </w:t>
      </w:r>
      <w:r w:rsidRPr="00C44B09">
        <w:rPr>
          <w:rFonts w:ascii="Arial" w:hAnsi="Arial" w:cs="Arial"/>
          <w:sz w:val="24"/>
          <w:szCs w:val="24"/>
        </w:rPr>
        <w:t>versa, a existência de sucessivas regiões claras e escuras em uma via, o “</w:t>
      </w:r>
      <w:r w:rsidR="00FC2BB8" w:rsidRPr="00C44B09">
        <w:rPr>
          <w:rFonts w:ascii="Arial" w:hAnsi="Arial" w:cs="Arial"/>
          <w:sz w:val="24"/>
          <w:szCs w:val="24"/>
        </w:rPr>
        <w:t>zebramento</w:t>
      </w:r>
      <w:r w:rsidRPr="00C44B09">
        <w:rPr>
          <w:rFonts w:ascii="Arial" w:hAnsi="Arial" w:cs="Arial"/>
          <w:sz w:val="24"/>
          <w:szCs w:val="24"/>
        </w:rPr>
        <w:t xml:space="preserve">”, pode causar fadiga visual ao motorista, constituindo-se em risco de acidentes. Um exemplo de iluminação de via apresentando “zebramento” é mostrado na Figura 3.4. </w:t>
      </w:r>
    </w:p>
    <w:p w14:paraId="76A17DDE" w14:textId="3D0A0A68"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 </w:t>
      </w:r>
    </w:p>
    <w:p w14:paraId="2C66ABE7"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3A731003" wp14:editId="6B3A217F">
            <wp:extent cx="5391150" cy="2590800"/>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150" cy="2590800"/>
                    </a:xfrm>
                    <a:prstGeom prst="rect">
                      <a:avLst/>
                    </a:prstGeom>
                    <a:noFill/>
                    <a:ln>
                      <a:noFill/>
                    </a:ln>
                  </pic:spPr>
                </pic:pic>
              </a:graphicData>
            </a:graphic>
          </wp:inline>
        </w:drawing>
      </w:r>
      <w:r w:rsidRPr="00C44B09">
        <w:rPr>
          <w:rFonts w:ascii="Arial" w:hAnsi="Arial" w:cs="Arial"/>
          <w:sz w:val="24"/>
          <w:szCs w:val="24"/>
        </w:rPr>
        <w:t xml:space="preserve">O “zebramento”, ou “efeito zebra”, é a existência de zonas com grandes diferenças de luminosidade em uma via. Além da aparência estética indesejável, pode acarretar fadiga visual ao motorista. </w:t>
      </w:r>
    </w:p>
    <w:p w14:paraId="79DD994D" w14:textId="41CEFF48" w:rsidR="00083CAD" w:rsidRPr="00C44B09" w:rsidRDefault="00083CAD" w:rsidP="00BB44EE">
      <w:pPr>
        <w:jc w:val="both"/>
        <w:rPr>
          <w:rFonts w:ascii="Arial" w:hAnsi="Arial" w:cs="Arial"/>
          <w:sz w:val="24"/>
          <w:szCs w:val="24"/>
        </w:rPr>
      </w:pPr>
      <w:r w:rsidRPr="00C44B09">
        <w:rPr>
          <w:rFonts w:ascii="Arial" w:hAnsi="Arial" w:cs="Arial"/>
          <w:sz w:val="24"/>
          <w:szCs w:val="24"/>
        </w:rPr>
        <w:t>A iluminação de túneis é outro exemplo clássico para consideração do fenômeno de adaptação. Devido a acentuada diferença de luminosidade que pode existir dentro e fora de um túnel, é necessário implantar um sistema de iluminação adequado, para que tanto no período diurno quanto no noturno, essa diferença</w:t>
      </w:r>
      <w:r w:rsidR="00BB44EE" w:rsidRPr="00C44B09">
        <w:rPr>
          <w:rFonts w:ascii="Arial" w:hAnsi="Arial" w:cs="Arial"/>
          <w:sz w:val="24"/>
          <w:szCs w:val="24"/>
        </w:rPr>
        <w:t xml:space="preserve"> </w:t>
      </w:r>
      <w:r w:rsidRPr="00C44B09">
        <w:rPr>
          <w:rFonts w:ascii="Arial" w:hAnsi="Arial" w:cs="Arial"/>
          <w:sz w:val="24"/>
          <w:szCs w:val="24"/>
        </w:rPr>
        <w:t xml:space="preserve">seja a mínima possível, de modo a não causar fadiga visual nem ofuscamento ao motorista.  </w:t>
      </w:r>
    </w:p>
    <w:p w14:paraId="454F1DC0" w14:textId="01A7389F"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b) Acomodação  </w:t>
      </w:r>
    </w:p>
    <w:p w14:paraId="0735357B"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Acomodação é o processo de ajustamento do sistema visual para permitir a visão nítida (foco) de objetos situados a distâncias diferentes. Com o avanço da idade, a capacidade de acomodação diminui, sendo necessário maiores distâncias e níveis de iluminância para focalizar um objeto. </w:t>
      </w:r>
    </w:p>
    <w:p w14:paraId="1F516449" w14:textId="51B4D18D"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c) Acuidade Visual </w:t>
      </w:r>
    </w:p>
    <w:p w14:paraId="10810BA1"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Acuidade visual ou resolução visual é a capacidade de distinguir detalhes finos nos objetos visualizados, com maior ou menor facilidade e rapidez. Essa característica é um fator importante para a visualização de sinais de trânsito ou obstáculos durante a condução de um veículo. Portanto, o estabelecimento de níveis de iluminâncias e fatores de uniformidade adequados em estradas para o tráfego motorizado, propiciará um discernimento mais rápido e preciso ao motorista.</w:t>
      </w:r>
    </w:p>
    <w:p w14:paraId="41A7E16D" w14:textId="5F0963C0"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OFUSCAMENTO </w:t>
      </w:r>
    </w:p>
    <w:p w14:paraId="607FE671"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NBR 5101:2012 define qualitativamente o fenômeno do ofuscamento causado pelas fontes de luz artificiais. Por se tratar de um fator importante na iluminação pública, serão apresentados os seus principais conceitos, de acordo com as definições dessa Norma. </w:t>
      </w:r>
    </w:p>
    <w:p w14:paraId="25B860B5" w14:textId="7AE9280B" w:rsidR="00083CAD" w:rsidRPr="00C44B09" w:rsidRDefault="00083CAD" w:rsidP="00BB44EE">
      <w:pPr>
        <w:jc w:val="both"/>
        <w:rPr>
          <w:rFonts w:ascii="Arial" w:hAnsi="Arial" w:cs="Arial"/>
          <w:sz w:val="24"/>
          <w:szCs w:val="24"/>
        </w:rPr>
      </w:pPr>
      <w:r w:rsidRPr="00C44B09">
        <w:rPr>
          <w:rFonts w:ascii="Arial" w:hAnsi="Arial" w:cs="Arial"/>
          <w:sz w:val="24"/>
          <w:szCs w:val="24"/>
        </w:rPr>
        <w:t>O ofuscamento</w:t>
      </w:r>
      <w:r w:rsidR="00BB44EE" w:rsidRPr="00C44B09">
        <w:rPr>
          <w:rFonts w:ascii="Arial" w:hAnsi="Arial" w:cs="Arial"/>
          <w:sz w:val="24"/>
          <w:szCs w:val="24"/>
        </w:rPr>
        <w:t>5</w:t>
      </w:r>
      <w:r w:rsidRPr="00C44B09">
        <w:rPr>
          <w:rFonts w:ascii="Arial" w:hAnsi="Arial" w:cs="Arial"/>
          <w:sz w:val="24"/>
          <w:szCs w:val="24"/>
        </w:rPr>
        <w:t xml:space="preserve"> é a sensação desagradável na qual há desconforto visual, causado por uma luminância excessiva no campo visual (ofuscamento direto), ou pelo posicionamento inadequado de luminárias, quando as imagens refletidas aparecem na mesma direção ou numa direção próxima do objeto observado (ofuscamento por reflexão).  </w:t>
      </w:r>
    </w:p>
    <w:p w14:paraId="41DB4991" w14:textId="34FB7462"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Situações de ofuscamento podem comprometer a performance visual do motorista, e sua intensidade depende do tamanho da fonte de luz, de sua posição relativa ao observador e do brilho do entorno e do fundo da região onde está essa fonte. </w:t>
      </w:r>
    </w:p>
    <w:p w14:paraId="14A2189E" w14:textId="13FB065F"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Existem dois tipos de ofuscamento que influem diretamente na qualidade da iluminação de vias: o psicológico ou desconfortável, e o fisiológico ou inabilitador. Ambos podem ser minimizados pelo posicionamento adequado das luminárias e/ou através da utilização de refratores. A sua limitação efetiva é um importante critério para obter-se uma iluminação pública adequada e para evitar riscos de acidentes. </w:t>
      </w:r>
    </w:p>
    <w:p w14:paraId="2997302E" w14:textId="3D243EC1" w:rsidR="00083CAD" w:rsidRPr="00C44B09" w:rsidRDefault="00083CAD" w:rsidP="00BB44EE">
      <w:pPr>
        <w:jc w:val="both"/>
        <w:rPr>
          <w:rFonts w:ascii="Arial" w:hAnsi="Arial" w:cs="Arial"/>
          <w:sz w:val="24"/>
          <w:szCs w:val="24"/>
        </w:rPr>
      </w:pPr>
      <w:r w:rsidRPr="00C44B09">
        <w:rPr>
          <w:rFonts w:ascii="Arial" w:hAnsi="Arial" w:cs="Arial"/>
          <w:sz w:val="24"/>
          <w:szCs w:val="24"/>
        </w:rPr>
        <w:t>5 O ofuscamento também é conhecido como “cegueira momentânea”.</w:t>
      </w:r>
    </w:p>
    <w:p w14:paraId="282012D4"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Ofuscamento Psicológico ou Desconfortável - GR </w:t>
      </w:r>
    </w:p>
    <w:p w14:paraId="717F18BE" w14:textId="20301CCA"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ofuscamento psicológico (ou desconfortável) altera o grau de conforto do motorista, influindo na sua disposição para a tarefa de dirigir. Esse ofuscamento é representado pela letra G, e a sua intensidade é associada com um valor numérico de 1 a 9. </w:t>
      </w:r>
    </w:p>
    <w:p w14:paraId="33E52709" w14:textId="77777777" w:rsidR="00BB44EE" w:rsidRPr="00C44B09" w:rsidRDefault="00083CAD" w:rsidP="00BB44EE">
      <w:pPr>
        <w:pStyle w:val="PargrafodaLista"/>
        <w:numPr>
          <w:ilvl w:val="0"/>
          <w:numId w:val="11"/>
        </w:numPr>
        <w:jc w:val="both"/>
        <w:rPr>
          <w:rFonts w:ascii="Arial" w:hAnsi="Arial" w:cs="Arial"/>
          <w:sz w:val="24"/>
          <w:szCs w:val="24"/>
        </w:rPr>
      </w:pPr>
      <w:r w:rsidRPr="00C44B09">
        <w:rPr>
          <w:rFonts w:ascii="Arial" w:hAnsi="Arial" w:cs="Arial"/>
          <w:sz w:val="24"/>
          <w:szCs w:val="24"/>
        </w:rPr>
        <w:lastRenderedPageBreak/>
        <w:t xml:space="preserve">G = 1 - ofuscamento inaceitável; </w:t>
      </w:r>
    </w:p>
    <w:p w14:paraId="79176167" w14:textId="77777777" w:rsidR="00BB44EE" w:rsidRPr="00C44B09" w:rsidRDefault="00083CAD" w:rsidP="00BB44EE">
      <w:pPr>
        <w:pStyle w:val="PargrafodaLista"/>
        <w:numPr>
          <w:ilvl w:val="0"/>
          <w:numId w:val="11"/>
        </w:numPr>
        <w:jc w:val="both"/>
        <w:rPr>
          <w:rFonts w:ascii="Arial" w:hAnsi="Arial" w:cs="Arial"/>
          <w:sz w:val="24"/>
          <w:szCs w:val="24"/>
        </w:rPr>
      </w:pPr>
      <w:r w:rsidRPr="00C44B09">
        <w:rPr>
          <w:rFonts w:ascii="Arial" w:hAnsi="Arial" w:cs="Arial"/>
          <w:sz w:val="24"/>
          <w:szCs w:val="24"/>
        </w:rPr>
        <w:t>G = 3 - ofuscamento perturbador;</w:t>
      </w:r>
    </w:p>
    <w:p w14:paraId="1100A428" w14:textId="77777777" w:rsidR="00BB44EE" w:rsidRPr="00C44B09" w:rsidRDefault="00083CAD"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G = 5 - ofuscamento aceitável; </w:t>
      </w:r>
    </w:p>
    <w:p w14:paraId="60A65032" w14:textId="77777777" w:rsidR="00BB44EE" w:rsidRPr="00C44B09" w:rsidRDefault="00083CAD"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G = 7 - ofuscamento satisfatório; </w:t>
      </w:r>
    </w:p>
    <w:p w14:paraId="675F7ACF" w14:textId="77777777" w:rsidR="00083CAD" w:rsidRPr="00C44B09" w:rsidRDefault="00083CAD" w:rsidP="00BB44EE">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G = 9 - ofuscamento imperceptível. </w:t>
      </w:r>
    </w:p>
    <w:p w14:paraId="54F73F93" w14:textId="00763373"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b) Ofuscamento Fisiológico ou Inabilitador -TI </w:t>
      </w:r>
    </w:p>
    <w:p w14:paraId="2C4EC538" w14:textId="70CD46A6" w:rsidR="00083CAD" w:rsidRPr="00C44B09" w:rsidRDefault="00083CAD" w:rsidP="00BB44EE">
      <w:pPr>
        <w:jc w:val="both"/>
        <w:rPr>
          <w:rFonts w:ascii="Arial" w:hAnsi="Arial" w:cs="Arial"/>
          <w:sz w:val="24"/>
          <w:szCs w:val="24"/>
        </w:rPr>
      </w:pPr>
      <w:r w:rsidRPr="00C44B09">
        <w:rPr>
          <w:rFonts w:ascii="Arial" w:hAnsi="Arial" w:cs="Arial"/>
          <w:sz w:val="24"/>
          <w:szCs w:val="24"/>
        </w:rPr>
        <w:t>O ofuscamento fisiológico ou inabilitador, expresso em porcentagem e representado pela sigla TI, causa deficiência da capacidade visual do motorista, com redução do contraste, da acuidade visual, e da velocidade de percepção. Esse ofuscamento é ilustrado na Figura 3.5.</w:t>
      </w:r>
    </w:p>
    <w:p w14:paraId="64F0AE83"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3024003F" wp14:editId="702A3525">
            <wp:extent cx="5391150" cy="2209800"/>
            <wp:effectExtent l="0" t="0" r="0" b="0"/>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2209800"/>
                    </a:xfrm>
                    <a:prstGeom prst="rect">
                      <a:avLst/>
                    </a:prstGeom>
                    <a:noFill/>
                    <a:ln>
                      <a:noFill/>
                    </a:ln>
                  </pic:spPr>
                </pic:pic>
              </a:graphicData>
            </a:graphic>
          </wp:inline>
        </w:drawing>
      </w:r>
      <w:r w:rsidRPr="00C44B09">
        <w:rPr>
          <w:rFonts w:ascii="Arial" w:hAnsi="Arial" w:cs="Arial"/>
          <w:sz w:val="24"/>
          <w:szCs w:val="24"/>
        </w:rPr>
        <w:t xml:space="preserve">Em situações de ofuscamento fisiológico, a fonte de luz se espalha internamente ao globo ótico reduzindo o contraste das imagens projetadas contra a retina (ponto F), podendo comprometer o desempenho visual. </w:t>
      </w:r>
    </w:p>
    <w:p w14:paraId="0063C823" w14:textId="21BBF0E1"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Experiências realizadas em alguns países da Europa, revelaram que o índice de acidente em estradas durante à noite é três vezes maior do que no período diurno, sobretudo pelos reduzidos níveis de luminosidade naquele período, e o ofuscamento causado pelos faróis dos automóveis, conforme ilustrado na Figura 3.6. </w:t>
      </w:r>
    </w:p>
    <w:p w14:paraId="0F019373"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 </w:t>
      </w:r>
      <w:r w:rsidRPr="00C44B09">
        <w:rPr>
          <w:rFonts w:ascii="Arial" w:hAnsi="Arial" w:cs="Arial"/>
          <w:noProof/>
          <w:sz w:val="24"/>
          <w:szCs w:val="24"/>
          <w:lang w:eastAsia="pt-BR"/>
        </w:rPr>
        <w:drawing>
          <wp:inline distT="0" distB="0" distL="0" distR="0" wp14:anchorId="1E45B87E" wp14:editId="73C36A8D">
            <wp:extent cx="5400675" cy="2438400"/>
            <wp:effectExtent l="0" t="0" r="9525"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675" cy="2438400"/>
                    </a:xfrm>
                    <a:prstGeom prst="rect">
                      <a:avLst/>
                    </a:prstGeom>
                    <a:noFill/>
                    <a:ln>
                      <a:noFill/>
                    </a:ln>
                  </pic:spPr>
                </pic:pic>
              </a:graphicData>
            </a:graphic>
          </wp:inline>
        </w:drawing>
      </w:r>
      <w:r w:rsidRPr="00C44B09">
        <w:rPr>
          <w:rFonts w:ascii="Arial" w:hAnsi="Arial" w:cs="Arial"/>
          <w:sz w:val="24"/>
          <w:szCs w:val="24"/>
        </w:rPr>
        <w:t xml:space="preserve">Nas vias de mão dupla, de tráfego intenso e que não há iluminação, os faróis dos automóveis podem causar sérios problemas de ofuscamento aos motoristas.  </w:t>
      </w:r>
    </w:p>
    <w:p w14:paraId="4A82671D" w14:textId="51A0760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Figura 3.7 apresenta a zona de ofuscamento para os condutores de veículos devido ao posicionamento das luminárias. </w:t>
      </w:r>
    </w:p>
    <w:p w14:paraId="07BA9E8F"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2ADB8694" wp14:editId="42C6B036">
            <wp:extent cx="5394960" cy="2194560"/>
            <wp:effectExtent l="0" t="0" r="0" b="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4960" cy="2194560"/>
                    </a:xfrm>
                    <a:prstGeom prst="rect">
                      <a:avLst/>
                    </a:prstGeom>
                    <a:noFill/>
                    <a:ln>
                      <a:noFill/>
                    </a:ln>
                  </pic:spPr>
                </pic:pic>
              </a:graphicData>
            </a:graphic>
          </wp:inline>
        </w:drawing>
      </w:r>
    </w:p>
    <w:p w14:paraId="1D618388"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Para limitar esse ofuscamento devem ser utilizadas </w:t>
      </w:r>
      <w:proofErr w:type="gramStart"/>
      <w:r w:rsidRPr="00C44B09">
        <w:rPr>
          <w:rFonts w:ascii="Arial" w:hAnsi="Arial" w:cs="Arial"/>
          <w:sz w:val="24"/>
          <w:szCs w:val="24"/>
        </w:rPr>
        <w:t>luminárias com reduzida intensidade luminosa entre 80 a 90 graus</w:t>
      </w:r>
      <w:proofErr w:type="gramEnd"/>
      <w:r w:rsidRPr="00C44B09">
        <w:rPr>
          <w:rFonts w:ascii="Arial" w:hAnsi="Arial" w:cs="Arial"/>
          <w:sz w:val="24"/>
          <w:szCs w:val="24"/>
        </w:rPr>
        <w:t xml:space="preserve">. </w:t>
      </w:r>
    </w:p>
    <w:p w14:paraId="40FFB8FF" w14:textId="453E1046" w:rsidR="00BB44EE" w:rsidRPr="00C44B09" w:rsidRDefault="00083CAD" w:rsidP="00BB44EE">
      <w:pPr>
        <w:jc w:val="both"/>
        <w:rPr>
          <w:rFonts w:ascii="Arial" w:hAnsi="Arial" w:cs="Arial"/>
          <w:sz w:val="24"/>
          <w:szCs w:val="24"/>
        </w:rPr>
      </w:pPr>
      <w:r w:rsidRPr="00C44B09">
        <w:rPr>
          <w:rFonts w:ascii="Arial" w:hAnsi="Arial" w:cs="Arial"/>
          <w:sz w:val="24"/>
          <w:szCs w:val="24"/>
        </w:rPr>
        <w:t xml:space="preserve">A Figura 3.8 ilustra duas situações de iluminação pública adequada de vias para o tráfego de veículos e cruzamento de pedestres. </w:t>
      </w:r>
    </w:p>
    <w:p w14:paraId="2D68D825"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 </w:t>
      </w:r>
      <w:r w:rsidRPr="00C44B09">
        <w:rPr>
          <w:rFonts w:ascii="Arial" w:hAnsi="Arial" w:cs="Arial"/>
          <w:noProof/>
          <w:sz w:val="24"/>
          <w:szCs w:val="24"/>
          <w:lang w:eastAsia="pt-BR"/>
        </w:rPr>
        <w:drawing>
          <wp:inline distT="0" distB="0" distL="0" distR="0" wp14:anchorId="5B62D64A" wp14:editId="79C3CA71">
            <wp:extent cx="5391150" cy="1724025"/>
            <wp:effectExtent l="0" t="0" r="0" b="9525"/>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1150" cy="1724025"/>
                    </a:xfrm>
                    <a:prstGeom prst="rect">
                      <a:avLst/>
                    </a:prstGeom>
                    <a:noFill/>
                    <a:ln>
                      <a:noFill/>
                    </a:ln>
                  </pic:spPr>
                </pic:pic>
              </a:graphicData>
            </a:graphic>
          </wp:inline>
        </w:drawing>
      </w:r>
    </w:p>
    <w:p w14:paraId="2A38BE30"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Estatísticas comprovaram que em alguns países europeus, a iluminação pública adequada reduziu os índices de acidentes em 30% no período noturno. </w:t>
      </w:r>
    </w:p>
    <w:p w14:paraId="5DE4FA7F" w14:textId="6D4D765F"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problema de ofuscamento é de maior importância para os motoristas do que para os pedestres. Tendo em vista sua baixa velocidade de deslocamento, este possui mais tempo para se acostumar com variações de brilho ou reconhecer um objeto em seu caminho. Uma regra importante para manter o ofuscamento em níveis aceitáveis é que as fontes de luz estejam fora da linha de visão do pedestre, devendo localizar-se, portanto, em até 1 (um) ou acima de 3 (três) metros do solo.  LUMINÂNCIA E ILUMINÂNCIA </w:t>
      </w:r>
    </w:p>
    <w:p w14:paraId="346AC9C8" w14:textId="4FC2FF3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Numa definição resumida, luminância é a relação entre a intensidade luminosa com a qual irradia uma superfície, em uma determinada direção, e a área dessa superfície. A unidade de luminância é expressa em candela por metro quadrado [cd/m2]. Já iluminância, é a quantidade de fluxo luminoso incidente por unidade de área iluminada. A unidade para iluminância é expressa em lux, [lx]. A Figura 3.9 ilustra os dois conceitos. </w:t>
      </w:r>
    </w:p>
    <w:p w14:paraId="7FCBC9DB"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  </w:t>
      </w:r>
      <w:r w:rsidRPr="00C44B09">
        <w:rPr>
          <w:rFonts w:ascii="Arial" w:hAnsi="Arial" w:cs="Arial"/>
          <w:noProof/>
          <w:sz w:val="24"/>
          <w:szCs w:val="24"/>
          <w:lang w:eastAsia="pt-BR"/>
        </w:rPr>
        <w:drawing>
          <wp:inline distT="0" distB="0" distL="0" distR="0" wp14:anchorId="673A5107" wp14:editId="43435CAC">
            <wp:extent cx="5400675" cy="2133600"/>
            <wp:effectExtent l="0" t="0" r="9525" b="0"/>
            <wp:docPr id="63"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675" cy="2133600"/>
                    </a:xfrm>
                    <a:prstGeom prst="rect">
                      <a:avLst/>
                    </a:prstGeom>
                    <a:noFill/>
                    <a:ln>
                      <a:noFill/>
                    </a:ln>
                  </pic:spPr>
                </pic:pic>
              </a:graphicData>
            </a:graphic>
          </wp:inline>
        </w:drawing>
      </w:r>
      <w:r w:rsidRPr="00C44B09">
        <w:rPr>
          <w:rFonts w:ascii="Arial" w:hAnsi="Arial" w:cs="Arial"/>
          <w:sz w:val="24"/>
          <w:szCs w:val="24"/>
        </w:rPr>
        <w:t xml:space="preserve">Comparando-se os dois conceitos, conclui-se que iluminância é a quantidade de luz que incide sobre uma superfície, enquanto luminância é a quantidade de luz que chega até olho humano após ser refletida por essa superfície.  </w:t>
      </w:r>
    </w:p>
    <w:p w14:paraId="3C251BCC" w14:textId="790314C2" w:rsidR="00FC2BB8"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Para superfícies perfeitamente difusoras, a iluminância E, se relaciona com a luminância através da fórmula L = q.E, sendo: L a luminância e q o coeficiente de luminância.  Nas vias públicas, devido ao fato de que os materiais utilizados no pavimento (paralelepípedos, asfalto, etc.), apresentam característica de reflexão não difusa, a luminância num ponto vista a partir de certa direção, depende do ângulo de incidência da luz </w:t>
      </w:r>
      <w:r w:rsidRPr="00C44B09">
        <w:rPr>
          <w:rFonts w:ascii="Arial" w:hAnsi="Arial" w:cs="Arial"/>
          <w:sz w:val="24"/>
          <w:szCs w:val="24"/>
        </w:rPr>
        <w:t xml:space="preserve"> (gama) e do ângulo de observação </w:t>
      </w:r>
      <w:r w:rsidRPr="00C44B09">
        <w:rPr>
          <w:rFonts w:ascii="Arial" w:hAnsi="Arial" w:cs="Arial"/>
          <w:sz w:val="24"/>
          <w:szCs w:val="24"/>
        </w:rPr>
        <w:t xml:space="preserve"> (phi), conforme ilustrado na </w:t>
      </w:r>
      <w:proofErr w:type="gramStart"/>
      <w:r w:rsidRPr="00C44B09">
        <w:rPr>
          <w:rFonts w:ascii="Arial" w:hAnsi="Arial" w:cs="Arial"/>
          <w:sz w:val="24"/>
          <w:szCs w:val="24"/>
        </w:rPr>
        <w:t>Figura3.</w:t>
      </w:r>
      <w:proofErr w:type="gramEnd"/>
      <w:r w:rsidRPr="00C44B09">
        <w:rPr>
          <w:rFonts w:ascii="Arial" w:hAnsi="Arial" w:cs="Arial"/>
          <w:sz w:val="24"/>
          <w:szCs w:val="24"/>
        </w:rPr>
        <w:t xml:space="preserve">10  </w:t>
      </w:r>
    </w:p>
    <w:p w14:paraId="480BCC58" w14:textId="76A82E48"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0A47183E" wp14:editId="6479A942">
            <wp:extent cx="5400675" cy="1819275"/>
            <wp:effectExtent l="0" t="0" r="9525" b="9525"/>
            <wp:docPr id="64" name="Image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675" cy="1819275"/>
                    </a:xfrm>
                    <a:prstGeom prst="rect">
                      <a:avLst/>
                    </a:prstGeom>
                    <a:noFill/>
                    <a:ln>
                      <a:noFill/>
                    </a:ln>
                  </pic:spPr>
                </pic:pic>
              </a:graphicData>
            </a:graphic>
          </wp:inline>
        </w:drawing>
      </w:r>
      <w:r w:rsidRPr="00C44B09">
        <w:rPr>
          <w:rFonts w:ascii="Arial" w:hAnsi="Arial" w:cs="Arial"/>
          <w:sz w:val="24"/>
          <w:szCs w:val="24"/>
        </w:rPr>
        <w:t xml:space="preserve">Figura 3.10 – Iluminância em um piso não difusor. </w:t>
      </w:r>
    </w:p>
    <w:p w14:paraId="07AB3A7E" w14:textId="3E5920FC"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Observa-se que a luminância num ponto pode apresentar valores totalmente diferentes, dependendo do ângulo a partir do qual está sendo visualizado.  </w:t>
      </w:r>
    </w:p>
    <w:p w14:paraId="4EEFA42D" w14:textId="7C53373D"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cálculo e a medição da luminância são pouco práticos. Assim, a NBR 5101 recomenda valores de iluminância para projetos de iluminação pública.  </w:t>
      </w:r>
    </w:p>
    <w:p w14:paraId="5A7A3939" w14:textId="1F7B1B3E"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ILUMINAÇÃO DE VIAS PARA TRÁFEGO MOTORIZADO </w:t>
      </w:r>
    </w:p>
    <w:p w14:paraId="1DF2289C" w14:textId="202044DE"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Nas vias para o tráfego de veículos motorizados, o sistema de iluminação deve proporcionar uma rápida verificação e análise de obstáculos e objetos estranhos na pista, permitindo ao motorista tomar decisões precisas, tais como </w:t>
      </w:r>
      <w:r w:rsidR="00CE1032" w:rsidRPr="00C44B09">
        <w:rPr>
          <w:rFonts w:ascii="Arial" w:hAnsi="Arial" w:cs="Arial"/>
          <w:sz w:val="24"/>
          <w:szCs w:val="24"/>
        </w:rPr>
        <w:t>freadas</w:t>
      </w:r>
      <w:r w:rsidRPr="00C44B09">
        <w:rPr>
          <w:rFonts w:ascii="Arial" w:hAnsi="Arial" w:cs="Arial"/>
          <w:sz w:val="24"/>
          <w:szCs w:val="24"/>
        </w:rPr>
        <w:t xml:space="preserve"> e ou manobras com segurança.  </w:t>
      </w:r>
    </w:p>
    <w:p w14:paraId="6E0CA789" w14:textId="50D0EB92"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Os parâmetros de qualidade para vias de tráfego motorizado adotados pela NBR 5101, são níveis e fatores de uniformidade de iluminâncias, para os quais são estabelecidos valores médios mínimos, de acordo com a classificação da via pública, segundo sua importância, tipo e volume de tráfego de veículos. Quanto aos critérios para evitar o ofuscamento, são apresentadas algumas recomendações para controle do ângulo vertical de intensidade luminosa máxima das luminárias. </w:t>
      </w:r>
    </w:p>
    <w:p w14:paraId="76841BD1"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NBR 5101 também faz recomendações especiais para vias que apresentam tráfego complexo, tais como: cruzamentos de níveis, curvas e elevações e pistas convergentes. </w:t>
      </w:r>
    </w:p>
    <w:p w14:paraId="471156FB" w14:textId="43090F6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Já a norma CIE 115/95, dentre outras, utiliza como critério para iluminação de vias para tráfego motorizado o conceito de luminância, ao contrário do caso </w:t>
      </w:r>
      <w:r w:rsidRPr="00C44B09">
        <w:rPr>
          <w:rFonts w:ascii="Arial" w:hAnsi="Arial" w:cs="Arial"/>
          <w:sz w:val="24"/>
          <w:szCs w:val="24"/>
        </w:rPr>
        <w:lastRenderedPageBreak/>
        <w:t xml:space="preserve">brasileiro, que adotado o conceito de iluminância. Entretanto, para os que desejam conhecer esses critérios, referências de normas internacionais são importantes para auxiliar na elaboração de projetos de sistemas de iluminação pública eficientes. </w:t>
      </w:r>
    </w:p>
    <w:p w14:paraId="7F42A775" w14:textId="6CD72821"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Os principais critérios de qualidade considerados nessa norma são: uniformidade de luminância da superfície da via e controle do ofuscamento. Os valores de luminância média a serem determinados para um tipo de via, levam em consideração o tipo de distribuição das luminárias de acordo com a lâmpada utilizada, as características de reflexão do pavimento da via, e a manutenção de índices mínimos até o final da vida útil da instalação.  </w:t>
      </w:r>
    </w:p>
    <w:p w14:paraId="3B1F3043" w14:textId="22B7B239"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ILUMINAÇÃO DE VIAS PARA PEDESTRES </w:t>
      </w:r>
    </w:p>
    <w:p w14:paraId="368B3E73"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iluminação pública de áreas para pedestres deve facilitar o reconhecimento facial a partir de uma distância que torne possível uma atitude de defesa numa situação de perigo. Normalmente essa distância varia entre </w:t>
      </w:r>
      <w:proofErr w:type="gramStart"/>
      <w:r w:rsidRPr="00C44B09">
        <w:rPr>
          <w:rFonts w:ascii="Arial" w:hAnsi="Arial" w:cs="Arial"/>
          <w:sz w:val="24"/>
          <w:szCs w:val="24"/>
        </w:rPr>
        <w:t>4</w:t>
      </w:r>
      <w:proofErr w:type="gramEnd"/>
      <w:r w:rsidRPr="00C44B09">
        <w:rPr>
          <w:rFonts w:ascii="Arial" w:hAnsi="Arial" w:cs="Arial"/>
          <w:sz w:val="24"/>
          <w:szCs w:val="24"/>
        </w:rPr>
        <w:t xml:space="preserve"> (1 lux no nível do rosto) e10 metros (3 lux no nível do rosto).  </w:t>
      </w:r>
    </w:p>
    <w:p w14:paraId="16E79FE4"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As normas brasileiras adotam o critério de iluminância para iluminação pública de vias para pedestres. Neste caso, são recomendados os níveis mínimos de iluminância de acordo com o volume de pedestres cruzando vias com tráfego motorizado. </w:t>
      </w:r>
    </w:p>
    <w:p w14:paraId="4EEDA6B3" w14:textId="2C76C9BA"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Na iluminação de vias para pedestres, a norma CIE 115/95 também adota o critério de iluminância. Neste caso são estabelecidos níveis de iluminâncias horizontal e vertical, para identificar obstáculos e facilitar o deslocamento do pedestre com segurança, e para possibilitar o reconhecimento de pessoas. É utilizado ainda o critério de controle do ofuscamento, mesmo que essa situação não seja tão crítica no caso de pedestres.  </w:t>
      </w:r>
    </w:p>
    <w:p w14:paraId="47409A47" w14:textId="77777777" w:rsidR="00EB1981" w:rsidRPr="00C44B09" w:rsidRDefault="00EB1981" w:rsidP="00BB44EE">
      <w:pPr>
        <w:jc w:val="both"/>
        <w:rPr>
          <w:rFonts w:ascii="Arial" w:hAnsi="Arial" w:cs="Arial"/>
          <w:sz w:val="24"/>
          <w:szCs w:val="24"/>
        </w:rPr>
      </w:pPr>
    </w:p>
    <w:p w14:paraId="0E20F5B3" w14:textId="064053B0" w:rsidR="00471B40" w:rsidRPr="00C44B09" w:rsidRDefault="00471B40" w:rsidP="00BB44EE">
      <w:pPr>
        <w:jc w:val="both"/>
        <w:rPr>
          <w:rFonts w:ascii="Arial" w:hAnsi="Arial" w:cs="Arial"/>
          <w:sz w:val="24"/>
          <w:szCs w:val="24"/>
        </w:rPr>
        <w:sectPr w:rsidR="00471B40" w:rsidRPr="00C44B09" w:rsidSect="00220F47">
          <w:pgSz w:w="11906" w:h="16838"/>
          <w:pgMar w:top="1417" w:right="1701" w:bottom="1417" w:left="1701" w:header="708" w:footer="708" w:gutter="0"/>
          <w:cols w:space="708"/>
          <w:docGrid w:linePitch="360"/>
        </w:sectPr>
      </w:pPr>
    </w:p>
    <w:p w14:paraId="217E913F" w14:textId="1BFCF36C" w:rsidR="00083CAD" w:rsidRPr="00C44B09" w:rsidRDefault="00EB1981" w:rsidP="00CB6EDA">
      <w:pPr>
        <w:pStyle w:val="Ttulo1"/>
        <w:numPr>
          <w:ilvl w:val="0"/>
          <w:numId w:val="20"/>
        </w:numPr>
        <w:spacing w:before="360" w:after="120"/>
        <w:ind w:left="993"/>
        <w:rPr>
          <w:rFonts w:cs="Arial"/>
          <w:bCs/>
          <w:sz w:val="24"/>
          <w:szCs w:val="24"/>
        </w:rPr>
      </w:pPr>
      <w:bookmarkStart w:id="32" w:name="_Toc34225758"/>
      <w:bookmarkStart w:id="33" w:name="_Toc149225893"/>
      <w:r w:rsidRPr="00C44B09">
        <w:rPr>
          <w:rFonts w:cs="Arial"/>
          <w:bCs/>
          <w:sz w:val="24"/>
          <w:szCs w:val="24"/>
        </w:rPr>
        <w:lastRenderedPageBreak/>
        <w:t>P</w:t>
      </w:r>
      <w:r w:rsidR="00083CAD" w:rsidRPr="00C44B09">
        <w:rPr>
          <w:rFonts w:cs="Arial"/>
          <w:bCs/>
          <w:sz w:val="24"/>
          <w:szCs w:val="24"/>
        </w:rPr>
        <w:t>ROJETOS DE SISTEMAS DE ILUMINAÇÃO PÚBLICA EFICIENTES</w:t>
      </w:r>
      <w:bookmarkEnd w:id="32"/>
      <w:bookmarkEnd w:id="33"/>
      <w:r w:rsidR="00083CAD" w:rsidRPr="00C44B09">
        <w:rPr>
          <w:rFonts w:cs="Arial"/>
          <w:bCs/>
          <w:sz w:val="24"/>
          <w:szCs w:val="24"/>
        </w:rPr>
        <w:t xml:space="preserve"> </w:t>
      </w:r>
    </w:p>
    <w:p w14:paraId="0F96E0BA" w14:textId="77777777"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 INTRODUÇÃO </w:t>
      </w:r>
    </w:p>
    <w:p w14:paraId="2A37F3F2" w14:textId="64259C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Projetar um sistema de iluminação pública eficiente significa satisfazer diversos critérios qualitativos para atender as necessidades visuais dos seus usuários, utilizando de forma adequada as tecnologias disponíveis no mercado. </w:t>
      </w:r>
    </w:p>
    <w:p w14:paraId="3F96637B" w14:textId="2450731B" w:rsidR="00083CAD" w:rsidRPr="00C44B09" w:rsidRDefault="00083CAD" w:rsidP="00BB44EE">
      <w:pPr>
        <w:jc w:val="both"/>
        <w:rPr>
          <w:rFonts w:ascii="Arial" w:hAnsi="Arial" w:cs="Arial"/>
          <w:sz w:val="24"/>
          <w:szCs w:val="24"/>
        </w:rPr>
      </w:pPr>
      <w:r w:rsidRPr="00C44B09">
        <w:rPr>
          <w:rFonts w:ascii="Arial" w:hAnsi="Arial" w:cs="Arial"/>
          <w:sz w:val="24"/>
          <w:szCs w:val="24"/>
        </w:rPr>
        <w:t>Isso requer o conhecimento das principais características dos equipamentos eficientes utilizados para iluminação pública</w:t>
      </w:r>
      <w:r w:rsidR="004E6578" w:rsidRPr="00C44B09">
        <w:rPr>
          <w:rFonts w:ascii="Arial" w:hAnsi="Arial" w:cs="Arial"/>
          <w:sz w:val="24"/>
          <w:szCs w:val="24"/>
        </w:rPr>
        <w:t xml:space="preserve"> </w:t>
      </w:r>
      <w:r w:rsidRPr="00C44B09">
        <w:rPr>
          <w:rFonts w:ascii="Arial" w:hAnsi="Arial" w:cs="Arial"/>
          <w:sz w:val="24"/>
          <w:szCs w:val="24"/>
        </w:rPr>
        <w:t xml:space="preserve">e dos parâmetros básicos de qualidade mais importantes na iluminação de logradouros públicos.  </w:t>
      </w:r>
    </w:p>
    <w:p w14:paraId="077333FD" w14:textId="52133B64"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METODOLOGIA PARA ELABORAÇÃO DE UM PROJETO DE IP </w:t>
      </w:r>
    </w:p>
    <w:p w14:paraId="699E1D44" w14:textId="4FC831D8"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primeiro passo para a elaboração de um projeto de IP eficiente é classificar o tipo de via que será iluminada, para definição dos parâmetros luminotécnicos apropriados. </w:t>
      </w:r>
    </w:p>
    <w:p w14:paraId="71D5A7EC" w14:textId="269D5662" w:rsidR="00083CAD" w:rsidRPr="00C44B09" w:rsidRDefault="004E6578" w:rsidP="00BB44EE">
      <w:pPr>
        <w:jc w:val="both"/>
        <w:rPr>
          <w:rFonts w:ascii="Arial" w:hAnsi="Arial" w:cs="Arial"/>
          <w:sz w:val="24"/>
          <w:szCs w:val="24"/>
        </w:rPr>
      </w:pPr>
      <w:r w:rsidRPr="00C44B09">
        <w:rPr>
          <w:rFonts w:ascii="Arial" w:hAnsi="Arial" w:cs="Arial"/>
          <w:sz w:val="24"/>
          <w:szCs w:val="24"/>
        </w:rPr>
        <w:t>O</w:t>
      </w:r>
      <w:r w:rsidR="00083CAD" w:rsidRPr="00C44B09">
        <w:rPr>
          <w:rFonts w:ascii="Arial" w:hAnsi="Arial" w:cs="Arial"/>
          <w:sz w:val="24"/>
          <w:szCs w:val="24"/>
        </w:rPr>
        <w:t xml:space="preserve">s parâmetros de qualidade para vias de tráfego motorizado adotados pela NBR 5101, são níveis e fator de uniformidade de iluminâncias, cujos valores médios mínimos são estabelecidos de acordo com a classificação da via pública, segundo sua importância, tipo e volume de tráfego de veículos e de pedestres. </w:t>
      </w:r>
    </w:p>
    <w:p w14:paraId="2C97E9FE" w14:textId="31C3E744"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Os tipos de vias públicas, a classificação segundo o volume de tráfego de veículos e pedestres, e os níveis de iluminâncias recomendados pela NBR 5101, são apresentados nos QUADROS 11, 12 e 13, respectivamente.  </w:t>
      </w:r>
    </w:p>
    <w:p w14:paraId="5AF8866B" w14:textId="438BF398"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segundo passo, refere-se à escolha de lâmpadas e luminárias mais adequadas, para em seguida, determinar-se a respectiva altura de montagem, o espaçamento e o melhor posicionamento para os postes.  </w:t>
      </w:r>
    </w:p>
    <w:p w14:paraId="0B49AC36" w14:textId="0F8E7A1F"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O passo final é realização dos cálculos luminotécnicos buscando otimizar o projeto, tendo </w:t>
      </w:r>
      <w:r w:rsidR="006E5D5B" w:rsidRPr="00C44B09">
        <w:rPr>
          <w:rFonts w:ascii="Arial" w:hAnsi="Arial" w:cs="Arial"/>
          <w:sz w:val="24"/>
          <w:szCs w:val="24"/>
        </w:rPr>
        <w:t>como</w:t>
      </w:r>
      <w:r w:rsidRPr="00C44B09">
        <w:rPr>
          <w:rFonts w:ascii="Arial" w:hAnsi="Arial" w:cs="Arial"/>
          <w:sz w:val="24"/>
          <w:szCs w:val="24"/>
        </w:rPr>
        <w:t xml:space="preserve"> base os valores mínimos exigidos pelas normas. </w:t>
      </w:r>
    </w:p>
    <w:p w14:paraId="24605854" w14:textId="67EFB274"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Tipos de Vias para Iluminação Pública  </w:t>
      </w:r>
    </w:p>
    <w:p w14:paraId="1F2957A6" w14:textId="520F4A42" w:rsidR="00083CAD" w:rsidRPr="00C44B09" w:rsidRDefault="004E6578" w:rsidP="00BB44EE">
      <w:pPr>
        <w:jc w:val="both"/>
        <w:rPr>
          <w:rFonts w:ascii="Arial" w:hAnsi="Arial" w:cs="Arial"/>
          <w:sz w:val="24"/>
          <w:szCs w:val="24"/>
        </w:rPr>
      </w:pPr>
      <w:r w:rsidRPr="00C44B09">
        <w:rPr>
          <w:rFonts w:ascii="Arial" w:hAnsi="Arial" w:cs="Arial"/>
          <w:sz w:val="24"/>
          <w:szCs w:val="24"/>
        </w:rPr>
        <w:t>A</w:t>
      </w:r>
      <w:r w:rsidR="00083CAD" w:rsidRPr="00C44B09">
        <w:rPr>
          <w:rFonts w:ascii="Arial" w:hAnsi="Arial" w:cs="Arial"/>
          <w:sz w:val="24"/>
          <w:szCs w:val="24"/>
        </w:rPr>
        <w:t xml:space="preserve"> NBR 5101 – Iluminação Pública – Procedimento, estabelece os tipos de vias públicas de acordo com a sua natureza e função. Assim, as vias públicas podem ser definidas como</w:t>
      </w:r>
      <w:r w:rsidR="009E5A09" w:rsidRPr="00C44B09">
        <w:rPr>
          <w:rFonts w:ascii="Arial" w:hAnsi="Arial" w:cs="Arial"/>
          <w:sz w:val="24"/>
          <w:szCs w:val="24"/>
        </w:rPr>
        <w:t xml:space="preserve">: </w:t>
      </w:r>
      <w:r w:rsidR="00083CAD" w:rsidRPr="00C44B09">
        <w:rPr>
          <w:rFonts w:ascii="Arial" w:hAnsi="Arial" w:cs="Arial"/>
          <w:sz w:val="24"/>
          <w:szCs w:val="24"/>
        </w:rPr>
        <w:t xml:space="preserve">Vias urbanas:   - via de trânsito </w:t>
      </w:r>
      <w:r w:rsidR="00FD273C" w:rsidRPr="00C44B09">
        <w:rPr>
          <w:rFonts w:ascii="Arial" w:hAnsi="Arial" w:cs="Arial"/>
          <w:sz w:val="24"/>
          <w:szCs w:val="24"/>
        </w:rPr>
        <w:t>rápido; -</w:t>
      </w:r>
      <w:r w:rsidR="00083CAD" w:rsidRPr="00C44B09">
        <w:rPr>
          <w:rFonts w:ascii="Arial" w:hAnsi="Arial" w:cs="Arial"/>
          <w:sz w:val="24"/>
          <w:szCs w:val="24"/>
        </w:rPr>
        <w:t xml:space="preserve"> via </w:t>
      </w:r>
      <w:r w:rsidRPr="00C44B09">
        <w:rPr>
          <w:rFonts w:ascii="Arial" w:hAnsi="Arial" w:cs="Arial"/>
          <w:sz w:val="24"/>
          <w:szCs w:val="24"/>
        </w:rPr>
        <w:t>arterial; -</w:t>
      </w:r>
      <w:r w:rsidR="00083CAD" w:rsidRPr="00C44B09">
        <w:rPr>
          <w:rFonts w:ascii="Arial" w:hAnsi="Arial" w:cs="Arial"/>
          <w:sz w:val="24"/>
          <w:szCs w:val="24"/>
        </w:rPr>
        <w:t xml:space="preserve"> via </w:t>
      </w:r>
      <w:r w:rsidR="000E5462" w:rsidRPr="00C44B09">
        <w:rPr>
          <w:rFonts w:ascii="Arial" w:hAnsi="Arial" w:cs="Arial"/>
          <w:sz w:val="24"/>
          <w:szCs w:val="24"/>
        </w:rPr>
        <w:t>coletora; -</w:t>
      </w:r>
      <w:r w:rsidR="00083CAD" w:rsidRPr="00C44B09">
        <w:rPr>
          <w:rFonts w:ascii="Arial" w:hAnsi="Arial" w:cs="Arial"/>
          <w:sz w:val="24"/>
          <w:szCs w:val="24"/>
        </w:rPr>
        <w:t xml:space="preserve"> via local. </w:t>
      </w:r>
    </w:p>
    <w:p w14:paraId="10143993" w14:textId="38C3936E"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Vias rurais:   - </w:t>
      </w:r>
      <w:r w:rsidR="009E5A09" w:rsidRPr="00C44B09">
        <w:rPr>
          <w:rFonts w:ascii="Arial" w:hAnsi="Arial" w:cs="Arial"/>
          <w:sz w:val="24"/>
          <w:szCs w:val="24"/>
        </w:rPr>
        <w:t>rodovias; -</w:t>
      </w:r>
      <w:r w:rsidRPr="00C44B09">
        <w:rPr>
          <w:rFonts w:ascii="Arial" w:hAnsi="Arial" w:cs="Arial"/>
          <w:sz w:val="24"/>
          <w:szCs w:val="24"/>
        </w:rPr>
        <w:t xml:space="preserve"> estradas. </w:t>
      </w:r>
    </w:p>
    <w:p w14:paraId="72F16DB4" w14:textId="152B65BD"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A Figura 4.1 ilustra os tipos de vias, segundo os critérios da NBR 5101. </w:t>
      </w:r>
    </w:p>
    <w:p w14:paraId="330A8029"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2A5F45A9" wp14:editId="01C23BC8">
            <wp:extent cx="5661897" cy="3838575"/>
            <wp:effectExtent l="0" t="0" r="0" b="0"/>
            <wp:docPr id="65" name="Image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85183" cy="3854362"/>
                    </a:xfrm>
                    <a:prstGeom prst="rect">
                      <a:avLst/>
                    </a:prstGeom>
                    <a:noFill/>
                    <a:ln>
                      <a:noFill/>
                    </a:ln>
                  </pic:spPr>
                </pic:pic>
              </a:graphicData>
            </a:graphic>
          </wp:inline>
        </w:drawing>
      </w:r>
      <w:r w:rsidRPr="00C44B09">
        <w:rPr>
          <w:rFonts w:ascii="Arial" w:hAnsi="Arial" w:cs="Arial"/>
          <w:sz w:val="24"/>
          <w:szCs w:val="24"/>
        </w:rPr>
        <w:t xml:space="preserve"> </w:t>
      </w:r>
    </w:p>
    <w:p w14:paraId="171CFCFD" w14:textId="3CEABEEE" w:rsidR="00083CAD" w:rsidRPr="00C44B09" w:rsidRDefault="00083CAD" w:rsidP="00BB44EE">
      <w:pPr>
        <w:jc w:val="both"/>
        <w:rPr>
          <w:rFonts w:ascii="Arial" w:hAnsi="Arial" w:cs="Arial"/>
          <w:b/>
          <w:sz w:val="24"/>
          <w:szCs w:val="24"/>
        </w:rPr>
      </w:pPr>
      <w:r w:rsidRPr="00C44B09">
        <w:rPr>
          <w:rFonts w:ascii="Arial" w:hAnsi="Arial" w:cs="Arial"/>
          <w:sz w:val="24"/>
          <w:szCs w:val="24"/>
        </w:rPr>
        <w:t xml:space="preserve"> </w:t>
      </w:r>
      <w:r w:rsidRPr="00C44B09">
        <w:rPr>
          <w:rFonts w:ascii="Arial" w:hAnsi="Arial" w:cs="Arial"/>
          <w:b/>
          <w:sz w:val="24"/>
          <w:szCs w:val="24"/>
        </w:rPr>
        <w:t xml:space="preserve">Classificação do Volume de Tráfego em Vias Públicas </w:t>
      </w:r>
    </w:p>
    <w:p w14:paraId="2B7783DB" w14:textId="77777777" w:rsidR="00B404CD" w:rsidRPr="00C44B09" w:rsidRDefault="00083CAD" w:rsidP="00BB44EE">
      <w:pPr>
        <w:jc w:val="both"/>
        <w:rPr>
          <w:rFonts w:ascii="Arial" w:hAnsi="Arial" w:cs="Arial"/>
          <w:sz w:val="24"/>
          <w:szCs w:val="24"/>
        </w:rPr>
      </w:pPr>
      <w:r w:rsidRPr="00C44B09">
        <w:rPr>
          <w:rFonts w:ascii="Arial" w:hAnsi="Arial" w:cs="Arial"/>
          <w:sz w:val="24"/>
          <w:szCs w:val="24"/>
        </w:rPr>
        <w:t xml:space="preserve">A NBR 5101 também estabelece a classificação das vias públicas de acordo com o volume de tráfego noturno de veículos e/ou de pedestres que passam nessa via num período de 1 hora. Os Quadros 4.1 e 4.2 apresentam essas classificações. </w:t>
      </w:r>
    </w:p>
    <w:p w14:paraId="1BE7707E" w14:textId="77777777" w:rsidR="00B404CD" w:rsidRPr="00C44B09" w:rsidRDefault="00083CAD" w:rsidP="00BB44EE">
      <w:pPr>
        <w:jc w:val="both"/>
        <w:rPr>
          <w:rFonts w:ascii="Arial" w:hAnsi="Arial" w:cs="Arial"/>
          <w:sz w:val="24"/>
          <w:szCs w:val="24"/>
        </w:rPr>
      </w:pPr>
      <w:r w:rsidRPr="00C44B09">
        <w:rPr>
          <w:rFonts w:ascii="Arial" w:hAnsi="Arial" w:cs="Arial"/>
          <w:sz w:val="24"/>
          <w:szCs w:val="24"/>
        </w:rPr>
        <w:t>Quadro 4.1 – Classificação de uma via em função do tráfego motorizado.</w:t>
      </w:r>
      <w:r w:rsidRPr="00C44B09">
        <w:rPr>
          <w:rFonts w:ascii="Arial" w:hAnsi="Arial" w:cs="Arial"/>
          <w:noProof/>
          <w:sz w:val="24"/>
          <w:szCs w:val="24"/>
          <w:lang w:eastAsia="pt-BR"/>
        </w:rPr>
        <w:drawing>
          <wp:inline distT="0" distB="0" distL="0" distR="0" wp14:anchorId="34108722" wp14:editId="08EB95DC">
            <wp:extent cx="4200525" cy="2411962"/>
            <wp:effectExtent l="0" t="0" r="0" b="7620"/>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23866" cy="2425364"/>
                    </a:xfrm>
                    <a:prstGeom prst="rect">
                      <a:avLst/>
                    </a:prstGeom>
                    <a:noFill/>
                    <a:ln>
                      <a:noFill/>
                    </a:ln>
                  </pic:spPr>
                </pic:pic>
              </a:graphicData>
            </a:graphic>
          </wp:inline>
        </w:drawing>
      </w:r>
    </w:p>
    <w:p w14:paraId="10AE803A" w14:textId="10AF2881"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A NRB 5.101 define também 5 classes de iluminação (V1 a V5) conforme apresentado no Quadro 4.3 a seguir. </w:t>
      </w:r>
    </w:p>
    <w:p w14:paraId="1179D81C" w14:textId="14AB7DF1" w:rsidR="00083CAD" w:rsidRPr="00C44B09" w:rsidRDefault="00083CAD" w:rsidP="00BB44EE">
      <w:pPr>
        <w:jc w:val="both"/>
        <w:rPr>
          <w:rFonts w:ascii="Arial" w:hAnsi="Arial" w:cs="Arial"/>
          <w:sz w:val="24"/>
          <w:szCs w:val="24"/>
        </w:rPr>
      </w:pPr>
      <w:r w:rsidRPr="00C44B09">
        <w:rPr>
          <w:rFonts w:ascii="Arial" w:hAnsi="Arial" w:cs="Arial"/>
          <w:sz w:val="24"/>
          <w:szCs w:val="24"/>
        </w:rPr>
        <w:t>Quadro 4.3 – Classes de Iluminação para vias públicas.</w:t>
      </w:r>
      <w:r w:rsidR="00471B40" w:rsidRPr="00C44B09">
        <w:rPr>
          <w:rFonts w:ascii="Arial" w:hAnsi="Arial" w:cs="Arial"/>
          <w:noProof/>
          <w:sz w:val="24"/>
          <w:szCs w:val="24"/>
          <w:lang w:val="en-US"/>
        </w:rPr>
        <w:t xml:space="preserve"> </w:t>
      </w:r>
    </w:p>
    <w:p w14:paraId="0A647601"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63C904E8" wp14:editId="31CE33FD">
            <wp:extent cx="5400675" cy="2800350"/>
            <wp:effectExtent l="0" t="0" r="9525"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0675" cy="2800350"/>
                    </a:xfrm>
                    <a:prstGeom prst="rect">
                      <a:avLst/>
                    </a:prstGeom>
                    <a:noFill/>
                    <a:ln>
                      <a:noFill/>
                    </a:ln>
                  </pic:spPr>
                </pic:pic>
              </a:graphicData>
            </a:graphic>
          </wp:inline>
        </w:drawing>
      </w:r>
      <w:r w:rsidRPr="00C44B09">
        <w:rPr>
          <w:rFonts w:ascii="Arial" w:hAnsi="Arial" w:cs="Arial"/>
          <w:noProof/>
          <w:sz w:val="24"/>
          <w:szCs w:val="24"/>
          <w:lang w:eastAsia="pt-BR"/>
        </w:rPr>
        <w:drawing>
          <wp:inline distT="0" distB="0" distL="0" distR="0" wp14:anchorId="4EAD467A" wp14:editId="6875A0CB">
            <wp:extent cx="5367655" cy="2309891"/>
            <wp:effectExtent l="0" t="0" r="4445"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97060" cy="2322545"/>
                    </a:xfrm>
                    <a:prstGeom prst="rect">
                      <a:avLst/>
                    </a:prstGeom>
                    <a:noFill/>
                    <a:ln>
                      <a:noFill/>
                    </a:ln>
                  </pic:spPr>
                </pic:pic>
              </a:graphicData>
            </a:graphic>
          </wp:inline>
        </w:drawing>
      </w:r>
    </w:p>
    <w:p w14:paraId="4B0FB0F2" w14:textId="77777777" w:rsidR="00083CAD" w:rsidRPr="00C44B09" w:rsidRDefault="00083CAD" w:rsidP="00BB44EE">
      <w:pPr>
        <w:jc w:val="both"/>
        <w:rPr>
          <w:rFonts w:ascii="Arial" w:hAnsi="Arial" w:cs="Arial"/>
          <w:b/>
          <w:sz w:val="24"/>
          <w:szCs w:val="24"/>
        </w:rPr>
      </w:pPr>
      <w:r w:rsidRPr="00C44B09">
        <w:rPr>
          <w:rFonts w:ascii="Arial" w:hAnsi="Arial" w:cs="Arial"/>
          <w:b/>
          <w:sz w:val="24"/>
          <w:szCs w:val="24"/>
        </w:rPr>
        <w:t xml:space="preserve">Níveis de Iluminância em Vias Públicas </w:t>
      </w:r>
    </w:p>
    <w:p w14:paraId="340410AD" w14:textId="01876502"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Experiências realizadas na Europa e EUA constataram que, visando assegurar uma boa visão a pedestres e motoristas, devem ser utilizados níveis de iluminância variando entre </w:t>
      </w:r>
      <w:proofErr w:type="gramStart"/>
      <w:r w:rsidRPr="00C44B09">
        <w:rPr>
          <w:rFonts w:ascii="Arial" w:hAnsi="Arial" w:cs="Arial"/>
          <w:sz w:val="24"/>
          <w:szCs w:val="24"/>
        </w:rPr>
        <w:t>3</w:t>
      </w:r>
      <w:proofErr w:type="gramEnd"/>
      <w:r w:rsidRPr="00C44B09">
        <w:rPr>
          <w:rFonts w:ascii="Arial" w:hAnsi="Arial" w:cs="Arial"/>
          <w:sz w:val="24"/>
          <w:szCs w:val="24"/>
        </w:rPr>
        <w:t xml:space="preserve"> e 60 lux. Dentro desta faixa, o poder de percepção do condutor de um veículo aumenta consideravelmente, mas para valores acima de 60 lux o ganho é pequeno. </w:t>
      </w:r>
    </w:p>
    <w:p w14:paraId="1B0091BE" w14:textId="77777777" w:rsidR="00083CAD" w:rsidRPr="00C44B09" w:rsidRDefault="00083CAD" w:rsidP="00BB44EE">
      <w:pPr>
        <w:jc w:val="both"/>
        <w:rPr>
          <w:rFonts w:ascii="Arial" w:hAnsi="Arial" w:cs="Arial"/>
          <w:sz w:val="24"/>
          <w:szCs w:val="24"/>
        </w:rPr>
      </w:pPr>
      <w:r w:rsidRPr="00C44B09">
        <w:rPr>
          <w:rFonts w:ascii="Arial" w:hAnsi="Arial" w:cs="Arial"/>
          <w:sz w:val="24"/>
          <w:szCs w:val="24"/>
        </w:rPr>
        <w:t xml:space="preserve">Com base nesses resultados, a ABNT, através da norma NBR 5101, fixou os níveis mínimos de iluminância necessários à iluminação de vias públicas, de acordo com sua importância, tipo e volume de tráfego, os quais são destinados a propiciar segurança a pedestres e veículos.  </w:t>
      </w:r>
    </w:p>
    <w:p w14:paraId="7FE3F824" w14:textId="15C8215F" w:rsidR="00083CAD" w:rsidRPr="00C44B09" w:rsidRDefault="00083CAD" w:rsidP="00BB44EE">
      <w:pPr>
        <w:jc w:val="both"/>
        <w:rPr>
          <w:rFonts w:ascii="Arial" w:hAnsi="Arial" w:cs="Arial"/>
          <w:sz w:val="24"/>
          <w:szCs w:val="24"/>
        </w:rPr>
      </w:pPr>
      <w:r w:rsidRPr="00C44B09">
        <w:rPr>
          <w:rFonts w:ascii="Arial" w:hAnsi="Arial" w:cs="Arial"/>
          <w:sz w:val="24"/>
          <w:szCs w:val="24"/>
        </w:rPr>
        <w:lastRenderedPageBreak/>
        <w:t xml:space="preserve">O Quadro 4.4 apresenta os valores de iluminância média mínima para vias públicas recomendados pela NBR 5101. </w:t>
      </w:r>
    </w:p>
    <w:p w14:paraId="67B38047" w14:textId="120B32FD" w:rsidR="00083CAD" w:rsidRPr="00C44B09" w:rsidRDefault="00083CAD" w:rsidP="00BB44EE">
      <w:pPr>
        <w:jc w:val="both"/>
        <w:rPr>
          <w:rFonts w:ascii="Arial" w:hAnsi="Arial" w:cs="Arial"/>
          <w:sz w:val="24"/>
          <w:szCs w:val="24"/>
        </w:rPr>
      </w:pPr>
      <w:r w:rsidRPr="00C44B09">
        <w:rPr>
          <w:rFonts w:ascii="Arial" w:hAnsi="Arial" w:cs="Arial"/>
          <w:sz w:val="24"/>
          <w:szCs w:val="24"/>
        </w:rPr>
        <w:t>Quadro 4.4 - Níveis de iluminância para vias públicas.</w:t>
      </w:r>
      <w:r w:rsidR="00471B40" w:rsidRPr="00C44B09">
        <w:rPr>
          <w:rFonts w:ascii="Arial" w:hAnsi="Arial" w:cs="Arial"/>
          <w:noProof/>
          <w:sz w:val="24"/>
          <w:szCs w:val="24"/>
          <w:lang w:val="en-US"/>
        </w:rPr>
        <w:t xml:space="preserve"> </w:t>
      </w:r>
    </w:p>
    <w:p w14:paraId="6C4CFFBA" w14:textId="77777777" w:rsidR="00083CAD" w:rsidRPr="00C44B09" w:rsidRDefault="00083CAD"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03A669DC" wp14:editId="2237D5CB">
            <wp:extent cx="5394960" cy="1188720"/>
            <wp:effectExtent l="0" t="0" r="0"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4960" cy="1188720"/>
                    </a:xfrm>
                    <a:prstGeom prst="rect">
                      <a:avLst/>
                    </a:prstGeom>
                    <a:noFill/>
                    <a:ln>
                      <a:noFill/>
                    </a:ln>
                  </pic:spPr>
                </pic:pic>
              </a:graphicData>
            </a:graphic>
          </wp:inline>
        </w:drawing>
      </w:r>
    </w:p>
    <w:p w14:paraId="60FB7DE7"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Fator de Uniformidade de Iluminância O fator de uniformidade (U), é a relação entre o menor valor de iluminância em uma área considerada e o valor da iluminância média nessa mesma área, e é expresso pela fórmula: </w:t>
      </w:r>
    </w:p>
    <w:p w14:paraId="2B19E029" w14:textId="10A84A70" w:rsidR="00BB44EE" w:rsidRPr="00C44B09" w:rsidRDefault="006E5D5B" w:rsidP="00BB44EE">
      <w:pPr>
        <w:jc w:val="both"/>
        <w:rPr>
          <w:rFonts w:ascii="Arial" w:hAnsi="Arial" w:cs="Arial"/>
          <w:sz w:val="24"/>
          <w:szCs w:val="24"/>
        </w:rPr>
      </w:pPr>
      <w:r w:rsidRPr="00C44B09">
        <w:rPr>
          <w:rFonts w:ascii="Arial" w:hAnsi="Arial" w:cs="Arial"/>
          <w:sz w:val="24"/>
          <w:szCs w:val="24"/>
        </w:rPr>
        <w:t>M</w:t>
      </w:r>
      <w:r w:rsidR="00BB44EE" w:rsidRPr="00C44B09">
        <w:rPr>
          <w:rFonts w:ascii="Arial" w:hAnsi="Arial" w:cs="Arial"/>
          <w:sz w:val="24"/>
          <w:szCs w:val="24"/>
        </w:rPr>
        <w:t>édia</w:t>
      </w:r>
      <w:r w:rsidRPr="00C44B09">
        <w:rPr>
          <w:rFonts w:ascii="Arial" w:hAnsi="Arial" w:cs="Arial"/>
          <w:sz w:val="24"/>
          <w:szCs w:val="24"/>
        </w:rPr>
        <w:t xml:space="preserve"> </w:t>
      </w:r>
      <w:r w:rsidR="00BB44EE" w:rsidRPr="00C44B09">
        <w:rPr>
          <w:rFonts w:ascii="Arial" w:hAnsi="Arial" w:cs="Arial"/>
          <w:sz w:val="24"/>
          <w:szCs w:val="24"/>
        </w:rPr>
        <w:t>E E</w:t>
      </w:r>
      <w:r w:rsidR="000E5462" w:rsidRPr="00C44B09">
        <w:rPr>
          <w:rFonts w:ascii="Arial" w:hAnsi="Arial" w:cs="Arial"/>
          <w:sz w:val="24"/>
          <w:szCs w:val="24"/>
        </w:rPr>
        <w:t>.</w:t>
      </w:r>
      <w:r w:rsidR="00BB44EE" w:rsidRPr="00C44B09">
        <w:rPr>
          <w:rFonts w:ascii="Arial" w:hAnsi="Arial" w:cs="Arial"/>
          <w:sz w:val="24"/>
          <w:szCs w:val="24"/>
        </w:rPr>
        <w:t xml:space="preserve">Umin sendo Emin. </w:t>
      </w:r>
      <w:proofErr w:type="gramStart"/>
      <w:r w:rsidR="00BB44EE" w:rsidRPr="00C44B09">
        <w:rPr>
          <w:rFonts w:ascii="Arial" w:hAnsi="Arial" w:cs="Arial"/>
          <w:sz w:val="24"/>
          <w:szCs w:val="24"/>
        </w:rPr>
        <w:t>e</w:t>
      </w:r>
      <w:proofErr w:type="gramEnd"/>
      <w:r w:rsidR="00BB44EE" w:rsidRPr="00C44B09">
        <w:rPr>
          <w:rFonts w:ascii="Arial" w:hAnsi="Arial" w:cs="Arial"/>
          <w:sz w:val="24"/>
          <w:szCs w:val="24"/>
        </w:rPr>
        <w:t xml:space="preserve"> E</w:t>
      </w:r>
      <w:r w:rsidR="000E5462" w:rsidRPr="00C44B09">
        <w:rPr>
          <w:rFonts w:ascii="Arial" w:hAnsi="Arial" w:cs="Arial"/>
          <w:sz w:val="24"/>
          <w:szCs w:val="24"/>
        </w:rPr>
        <w:t>.</w:t>
      </w:r>
      <w:r w:rsidR="00BB44EE" w:rsidRPr="00C44B09">
        <w:rPr>
          <w:rFonts w:ascii="Arial" w:hAnsi="Arial" w:cs="Arial"/>
          <w:sz w:val="24"/>
          <w:szCs w:val="24"/>
        </w:rPr>
        <w:t xml:space="preserve">média os menores valores de iluminância e iluminância média, respectivamente. O valor da iluminância média é obtido através da média aritmética das leituras dos valores de iluminância da área em estudo, medidas em plano horizontal sobre o nível da via (ver item Medição de Iluminâncias).  </w:t>
      </w:r>
    </w:p>
    <w:p w14:paraId="1AB94530" w14:textId="367E7803"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Os valores mínimos para o fator de uniformidade de iluminância recomendados pela NBR 5101, em função da classe de iluminação foram apresentados no Quadro 4.4 anterior. </w:t>
      </w:r>
    </w:p>
    <w:p w14:paraId="509FF011" w14:textId="2965AB1E"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Quanto mais próximo de 1, mais uniforme será a iluminação da </w:t>
      </w:r>
      <w:r w:rsidR="00FD273C" w:rsidRPr="00C44B09">
        <w:rPr>
          <w:rFonts w:ascii="Arial" w:hAnsi="Arial" w:cs="Arial"/>
          <w:sz w:val="24"/>
          <w:szCs w:val="24"/>
        </w:rPr>
        <w:t>via.</w:t>
      </w:r>
      <w:r w:rsidRPr="00C44B09">
        <w:rPr>
          <w:rFonts w:ascii="Arial" w:hAnsi="Arial" w:cs="Arial"/>
          <w:sz w:val="24"/>
          <w:szCs w:val="24"/>
        </w:rPr>
        <w:t xml:space="preserve"> </w:t>
      </w:r>
    </w:p>
    <w:p w14:paraId="22C9ADC5" w14:textId="6C451F78" w:rsidR="00BB44EE" w:rsidRPr="00C44B09" w:rsidRDefault="00BB44EE" w:rsidP="00BB44EE">
      <w:pPr>
        <w:jc w:val="both"/>
        <w:rPr>
          <w:rFonts w:ascii="Arial" w:hAnsi="Arial" w:cs="Arial"/>
          <w:b/>
          <w:sz w:val="24"/>
          <w:szCs w:val="24"/>
        </w:rPr>
      </w:pPr>
      <w:r w:rsidRPr="00C44B09">
        <w:rPr>
          <w:rFonts w:ascii="Arial" w:hAnsi="Arial" w:cs="Arial"/>
          <w:b/>
          <w:sz w:val="24"/>
          <w:szCs w:val="24"/>
        </w:rPr>
        <w:t xml:space="preserve">Escolha de Lâmpadas e Luminárias </w:t>
      </w:r>
    </w:p>
    <w:p w14:paraId="2E1C2021" w14:textId="2CCEE6CE"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Nos projetos de iluminação pública, a escolha das lâmpadas e das luminárias a serem utilizadas em determinado logradouro público deve ser feita em função de critérios luminotécnicos, econômicos e de manutenção. Algumas dicas nesse sentido, são apresentadas a seguir: </w:t>
      </w:r>
    </w:p>
    <w:p w14:paraId="0809695C" w14:textId="32D52D30"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Utilizar as lâmpadas VSAP, pois apresentam uma série de vantagens técnicas e econômicas quando comparadas com as outras lâmpadas de descarga, conforme apresentado no Capítulo 2. As lâmpadas a vapor de mercúrio devem ficar restritas à manutenção da iluminação existente. A luminária adequada depende das características do logradouro no qual vai ser instalada e do tipo de lâmpada a ser utilizada, sendo importante verificar o seu grau de proteção (IP) e sua viabilidade econômica. Como referência, podem ser utilizadas os modelos apresentados no </w:t>
      </w:r>
      <w:r w:rsidR="006E5D5B" w:rsidRPr="00C44B09">
        <w:rPr>
          <w:rFonts w:ascii="Arial" w:hAnsi="Arial" w:cs="Arial"/>
          <w:sz w:val="24"/>
          <w:szCs w:val="24"/>
        </w:rPr>
        <w:t>Capítulo</w:t>
      </w:r>
      <w:r w:rsidRPr="00C44B09">
        <w:rPr>
          <w:rFonts w:ascii="Arial" w:hAnsi="Arial" w:cs="Arial"/>
          <w:sz w:val="24"/>
          <w:szCs w:val="24"/>
        </w:rPr>
        <w:t xml:space="preserve"> 2. Utilizar luminárias com equipamento incorporado, considerando a facilidade de manutenção, pois os principais equipamentos estão em um mesmo ponto, evitando que o eletricista tenha que se deslocar no poste durante o trabalho de substituição.  </w:t>
      </w:r>
    </w:p>
    <w:p w14:paraId="6C1B99F4"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lastRenderedPageBreak/>
        <w:t xml:space="preserve">Altura de Montagem (Am) </w:t>
      </w:r>
    </w:p>
    <w:p w14:paraId="79EE13EF"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O próximo passo na elaboração de um projeto luminotécnico, após a determinação dos níveis de iluminância e escolha da lâmpada e da luminária, é a determinação da altura de montagem (Am), do espaçamento ou vão (e), e do posicionamento de postes. A seguir serão apresentados alguns critérios para a especificação desses valores. </w:t>
      </w:r>
    </w:p>
    <w:p w14:paraId="3D7FA00D" w14:textId="08F82190"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Para definição da altura de montagem da luminária e da distância entre os postes, o projetista pode adotar as seguintes regras práticas (recomenda-se aqui a utilização de programas de cálculo como o DIALux para otimizar essa regra): </w:t>
      </w:r>
    </w:p>
    <w:p w14:paraId="0230B83C" w14:textId="26E0931F" w:rsidR="00BB44EE" w:rsidRPr="00C44B09" w:rsidRDefault="00BB44EE" w:rsidP="00BB44EE">
      <w:pPr>
        <w:jc w:val="both"/>
        <w:rPr>
          <w:rFonts w:ascii="Arial" w:hAnsi="Arial" w:cs="Arial"/>
          <w:sz w:val="24"/>
          <w:szCs w:val="24"/>
        </w:rPr>
      </w:pPr>
      <w:proofErr w:type="gramStart"/>
      <w:r w:rsidRPr="00C44B09">
        <w:rPr>
          <w:rFonts w:ascii="Arial" w:hAnsi="Arial" w:cs="Arial"/>
          <w:sz w:val="24"/>
          <w:szCs w:val="24"/>
        </w:rPr>
        <w:t>Am</w:t>
      </w:r>
      <w:proofErr w:type="gramEnd"/>
      <w:r w:rsidRPr="00C44B09">
        <w:rPr>
          <w:rFonts w:ascii="Arial" w:hAnsi="Arial" w:cs="Arial"/>
          <w:sz w:val="24"/>
          <w:szCs w:val="24"/>
        </w:rPr>
        <w:t xml:space="preserve"> &gt;= L    e    e &lt;</w:t>
      </w:r>
      <w:r w:rsidR="00FD273C" w:rsidRPr="00C44B09">
        <w:rPr>
          <w:rFonts w:ascii="Arial" w:hAnsi="Arial" w:cs="Arial"/>
          <w:sz w:val="24"/>
          <w:szCs w:val="24"/>
        </w:rPr>
        <w:t>= 3</w:t>
      </w:r>
      <w:r w:rsidRPr="00C44B09">
        <w:rPr>
          <w:rFonts w:ascii="Arial" w:hAnsi="Arial" w:cs="Arial"/>
          <w:sz w:val="24"/>
          <w:szCs w:val="24"/>
        </w:rPr>
        <w:t xml:space="preserve"> . Am </w:t>
      </w:r>
    </w:p>
    <w:p w14:paraId="7A4DC3CB" w14:textId="725721E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 sendo: </w:t>
      </w:r>
    </w:p>
    <w:p w14:paraId="145D3AB6" w14:textId="4A3042BD"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Am = altura de montagem da luminária; L = largura da pista mais acostamento; e = espaçamento entre postes. </w:t>
      </w:r>
    </w:p>
    <w:p w14:paraId="57A20440"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 Figura 4.2 ilustra a representação desses parâmetros. </w:t>
      </w:r>
    </w:p>
    <w:p w14:paraId="7D89E490" w14:textId="77777777" w:rsidR="00BB44EE" w:rsidRPr="00C44B09" w:rsidRDefault="00BB44EE"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5311A16A" wp14:editId="666A4316">
            <wp:extent cx="5419725" cy="3305175"/>
            <wp:effectExtent l="0" t="0" r="9525" b="9525"/>
            <wp:docPr id="70"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19725" cy="3305175"/>
                    </a:xfrm>
                    <a:prstGeom prst="rect">
                      <a:avLst/>
                    </a:prstGeom>
                    <a:noFill/>
                    <a:ln>
                      <a:noFill/>
                    </a:ln>
                  </pic:spPr>
                </pic:pic>
              </a:graphicData>
            </a:graphic>
          </wp:inline>
        </w:drawing>
      </w:r>
    </w:p>
    <w:p w14:paraId="2E1255EF"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É importante lembrar que a utilização de lâmpadas de fluxo luminoso elevado em baixas alturas de montagem pode comprometer todo o projeto luminotécnico de uma via. Nesse caso, é comum observar-se o efeito de “zebramento” (fator de desuniformidade elevado, ou fator de uniformidade baixo), e, no caso de iluminação ornamental, ofuscamento excessivo. </w:t>
      </w:r>
    </w:p>
    <w:p w14:paraId="107781C7"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lastRenderedPageBreak/>
        <w:t xml:space="preserve">Com a utilização de luminárias mais eficientes, o espaçamento (e) poderá chegar a até 5 vezes a altura de montagem (Am). </w:t>
      </w:r>
    </w:p>
    <w:p w14:paraId="53BA5B80"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Para evitar que isso ocorra, devem ser observadas as relações entre fluxo luminoso e altura de montagem apresentadas no Quadro 4.5.</w:t>
      </w:r>
    </w:p>
    <w:p w14:paraId="26ED8176" w14:textId="77777777" w:rsidR="00B404CD" w:rsidRPr="00C44B09" w:rsidRDefault="00BB44EE"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159C8C32" wp14:editId="7FAD506B">
            <wp:extent cx="4057650" cy="1290418"/>
            <wp:effectExtent l="0" t="0" r="0" b="508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27254" cy="1312554"/>
                    </a:xfrm>
                    <a:prstGeom prst="rect">
                      <a:avLst/>
                    </a:prstGeom>
                    <a:noFill/>
                    <a:ln>
                      <a:noFill/>
                    </a:ln>
                  </pic:spPr>
                </pic:pic>
              </a:graphicData>
            </a:graphic>
          </wp:inline>
        </w:drawing>
      </w:r>
    </w:p>
    <w:p w14:paraId="2F551DC9" w14:textId="6B75263D"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Altura dos Postes e Manutenção </w:t>
      </w:r>
    </w:p>
    <w:p w14:paraId="6F646B27" w14:textId="3ADA65A6"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 </w:t>
      </w:r>
    </w:p>
    <w:p w14:paraId="7A6FADC7"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Na escolha da altura de montagem para uma luminária deve ser prevista a disponibilidade de veículos adequados à sua manutenção. A utilização de postes com altura de montagem superior a 14 metros poderá, eventualmente, impossibilitar a manutenção através de veículos convencionais, utilizados pela maioria das empresas de manutenção. </w:t>
      </w:r>
    </w:p>
    <w:p w14:paraId="296A99D0"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O projetista deverá também verificar determinadas características das vias, tais como volume de tráfego de veículos, importância para o comércio e turismo, considerando os transtornos que os serviços de manutenção podem acarretar nesses casos. </w:t>
      </w:r>
    </w:p>
    <w:p w14:paraId="799B9767" w14:textId="77777777" w:rsidR="00BB44EE" w:rsidRPr="00C44B09" w:rsidRDefault="00BB44EE" w:rsidP="00BB44EE">
      <w:pPr>
        <w:jc w:val="both"/>
        <w:rPr>
          <w:rFonts w:ascii="Arial" w:hAnsi="Arial" w:cs="Arial"/>
          <w:b/>
          <w:sz w:val="24"/>
          <w:szCs w:val="24"/>
        </w:rPr>
      </w:pPr>
      <w:r w:rsidRPr="00C44B09">
        <w:rPr>
          <w:rFonts w:ascii="Arial" w:hAnsi="Arial" w:cs="Arial"/>
          <w:b/>
          <w:sz w:val="24"/>
          <w:szCs w:val="24"/>
        </w:rPr>
        <w:t xml:space="preserve">DISPOSIÇÃO DE POSTES E LUMINÁRIAS </w:t>
      </w:r>
    </w:p>
    <w:p w14:paraId="610C3843" w14:textId="03AF7952"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Após a escolha do tipo de lâmpada, da luminária, e da definição da altura de montagem, o projetista deverá especificar a disposição dos postes na via. Quatro tipos básicos de locação de postes podem ser adotados em função da via que será iluminada: </w:t>
      </w:r>
    </w:p>
    <w:p w14:paraId="2CD74745" w14:textId="77777777" w:rsidR="00EB1981" w:rsidRPr="00C44B09" w:rsidRDefault="00BB44EE" w:rsidP="00EB1981">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posteação unilateral; </w:t>
      </w:r>
    </w:p>
    <w:p w14:paraId="59D5EF3E" w14:textId="77777777" w:rsidR="00EB1981" w:rsidRPr="00C44B09" w:rsidRDefault="00BB44EE" w:rsidP="00EB1981">
      <w:pPr>
        <w:pStyle w:val="PargrafodaLista"/>
        <w:numPr>
          <w:ilvl w:val="0"/>
          <w:numId w:val="11"/>
        </w:numPr>
        <w:jc w:val="both"/>
        <w:rPr>
          <w:rFonts w:ascii="Arial" w:hAnsi="Arial" w:cs="Arial"/>
          <w:sz w:val="24"/>
          <w:szCs w:val="24"/>
        </w:rPr>
      </w:pPr>
      <w:r w:rsidRPr="00C44B09">
        <w:rPr>
          <w:rFonts w:ascii="Arial" w:hAnsi="Arial" w:cs="Arial"/>
          <w:sz w:val="24"/>
          <w:szCs w:val="24"/>
        </w:rPr>
        <w:t>posteação bilateral alternada;</w:t>
      </w:r>
    </w:p>
    <w:p w14:paraId="7F47FACE" w14:textId="77777777" w:rsidR="00EB1981" w:rsidRPr="00C44B09" w:rsidRDefault="00BB44EE" w:rsidP="00EB1981">
      <w:pPr>
        <w:pStyle w:val="PargrafodaLista"/>
        <w:numPr>
          <w:ilvl w:val="0"/>
          <w:numId w:val="11"/>
        </w:numPr>
        <w:jc w:val="both"/>
        <w:rPr>
          <w:rFonts w:ascii="Arial" w:hAnsi="Arial" w:cs="Arial"/>
          <w:sz w:val="24"/>
          <w:szCs w:val="24"/>
        </w:rPr>
      </w:pPr>
      <w:r w:rsidRPr="00C44B09">
        <w:rPr>
          <w:rFonts w:ascii="Arial" w:hAnsi="Arial" w:cs="Arial"/>
          <w:sz w:val="24"/>
          <w:szCs w:val="24"/>
        </w:rPr>
        <w:t>posteação bilateral ou frente a frente</w:t>
      </w:r>
      <w:r w:rsidR="00EB1981" w:rsidRPr="00C44B09">
        <w:rPr>
          <w:rFonts w:ascii="Arial" w:hAnsi="Arial" w:cs="Arial"/>
          <w:sz w:val="24"/>
          <w:szCs w:val="24"/>
        </w:rPr>
        <w:t>;</w:t>
      </w:r>
    </w:p>
    <w:p w14:paraId="076DB683" w14:textId="77777777" w:rsidR="00BB44EE" w:rsidRPr="00C44B09" w:rsidRDefault="00BB44EE" w:rsidP="00EB1981">
      <w:pPr>
        <w:pStyle w:val="PargrafodaLista"/>
        <w:numPr>
          <w:ilvl w:val="0"/>
          <w:numId w:val="11"/>
        </w:numPr>
        <w:jc w:val="both"/>
        <w:rPr>
          <w:rFonts w:ascii="Arial" w:hAnsi="Arial" w:cs="Arial"/>
          <w:sz w:val="24"/>
          <w:szCs w:val="24"/>
        </w:rPr>
      </w:pPr>
      <w:r w:rsidRPr="00C44B09">
        <w:rPr>
          <w:rFonts w:ascii="Arial" w:hAnsi="Arial" w:cs="Arial"/>
          <w:sz w:val="24"/>
          <w:szCs w:val="24"/>
        </w:rPr>
        <w:t xml:space="preserve">central. </w:t>
      </w:r>
    </w:p>
    <w:p w14:paraId="16FF74DE" w14:textId="368AF388"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 partir destes quatro tipos básicos de posteação, o projetista deverá obter os níveis mínimos de iluminância apresentados no QUADRO 12, observados os critérios de disposição de luminárias, tipo de lâmpadas e altura de montagem recomendados. </w:t>
      </w:r>
    </w:p>
    <w:p w14:paraId="613321BE" w14:textId="387D35EF" w:rsidR="00BB44EE" w:rsidRPr="00C44B09" w:rsidRDefault="00BB44EE" w:rsidP="00BB44EE">
      <w:pPr>
        <w:jc w:val="both"/>
        <w:rPr>
          <w:rFonts w:ascii="Arial" w:hAnsi="Arial" w:cs="Arial"/>
          <w:b/>
          <w:sz w:val="24"/>
          <w:szCs w:val="24"/>
        </w:rPr>
      </w:pPr>
      <w:r w:rsidRPr="00C44B09">
        <w:rPr>
          <w:rFonts w:ascii="Arial" w:hAnsi="Arial" w:cs="Arial"/>
          <w:b/>
          <w:sz w:val="24"/>
          <w:szCs w:val="24"/>
        </w:rPr>
        <w:t xml:space="preserve">Posteação Unilateral </w:t>
      </w:r>
    </w:p>
    <w:p w14:paraId="01A25F9A" w14:textId="7DCDFF4D" w:rsidR="00BB44EE" w:rsidRPr="00C44B09" w:rsidRDefault="00BB44EE" w:rsidP="00BB44EE">
      <w:pPr>
        <w:jc w:val="both"/>
        <w:rPr>
          <w:rFonts w:ascii="Arial" w:hAnsi="Arial" w:cs="Arial"/>
          <w:sz w:val="24"/>
          <w:szCs w:val="24"/>
        </w:rPr>
      </w:pPr>
      <w:r w:rsidRPr="00C44B09">
        <w:rPr>
          <w:rFonts w:ascii="Arial" w:hAnsi="Arial" w:cs="Arial"/>
          <w:sz w:val="24"/>
          <w:szCs w:val="24"/>
        </w:rPr>
        <w:lastRenderedPageBreak/>
        <w:t xml:space="preserve">A posteação unilateral deve ser utilizada quando a largura da pista (L) for igual ou menor que a altura de montagem (Hm) da luminária, conforme Figura 4.3. </w:t>
      </w:r>
    </w:p>
    <w:p w14:paraId="4D3A47CC"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 </w:t>
      </w:r>
      <w:r w:rsidRPr="00C44B09">
        <w:rPr>
          <w:rFonts w:ascii="Arial" w:hAnsi="Arial" w:cs="Arial"/>
          <w:noProof/>
          <w:sz w:val="24"/>
          <w:szCs w:val="24"/>
          <w:lang w:eastAsia="pt-BR"/>
        </w:rPr>
        <w:drawing>
          <wp:inline distT="0" distB="0" distL="0" distR="0" wp14:anchorId="70299CB2" wp14:editId="076D4D55">
            <wp:extent cx="3810000" cy="3124200"/>
            <wp:effectExtent l="0" t="0" r="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810000" cy="3124200"/>
                    </a:xfrm>
                    <a:prstGeom prst="rect">
                      <a:avLst/>
                    </a:prstGeom>
                    <a:noFill/>
                    <a:ln>
                      <a:noFill/>
                    </a:ln>
                  </pic:spPr>
                </pic:pic>
              </a:graphicData>
            </a:graphic>
          </wp:inline>
        </w:drawing>
      </w:r>
    </w:p>
    <w:p w14:paraId="4FE1476F" w14:textId="677A62AD"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Neste caso, é de se esperar que a iluminância da parte oposta da pista em relação à posição das luminárias seja menor do que a do lado das luminárias. </w:t>
      </w:r>
    </w:p>
    <w:p w14:paraId="57C1E4D3" w14:textId="54241A86" w:rsidR="00BB44EE" w:rsidRPr="00C44B09" w:rsidRDefault="00BB44EE" w:rsidP="00BB44EE">
      <w:pPr>
        <w:jc w:val="both"/>
        <w:rPr>
          <w:rFonts w:ascii="Arial" w:hAnsi="Arial" w:cs="Arial"/>
          <w:b/>
          <w:sz w:val="24"/>
          <w:szCs w:val="24"/>
        </w:rPr>
      </w:pPr>
      <w:r w:rsidRPr="00C44B09">
        <w:rPr>
          <w:rFonts w:ascii="Arial" w:hAnsi="Arial" w:cs="Arial"/>
          <w:sz w:val="24"/>
          <w:szCs w:val="24"/>
        </w:rPr>
        <w:t xml:space="preserve"> </w:t>
      </w:r>
      <w:r w:rsidRPr="00C44B09">
        <w:rPr>
          <w:rFonts w:ascii="Arial" w:hAnsi="Arial" w:cs="Arial"/>
          <w:b/>
          <w:sz w:val="24"/>
          <w:szCs w:val="24"/>
        </w:rPr>
        <w:t xml:space="preserve">Posteação Bilateral Alternada  </w:t>
      </w:r>
    </w:p>
    <w:p w14:paraId="44745C3A" w14:textId="7E6B8B35" w:rsidR="00BB44EE" w:rsidRPr="00C44B09" w:rsidRDefault="00BB44EE" w:rsidP="00BB44EE">
      <w:pPr>
        <w:jc w:val="both"/>
        <w:rPr>
          <w:rFonts w:ascii="Arial" w:hAnsi="Arial" w:cs="Arial"/>
          <w:sz w:val="24"/>
          <w:szCs w:val="24"/>
        </w:rPr>
      </w:pPr>
      <w:r w:rsidRPr="00C44B09">
        <w:rPr>
          <w:rFonts w:ascii="Arial" w:hAnsi="Arial" w:cs="Arial"/>
          <w:sz w:val="24"/>
          <w:szCs w:val="24"/>
        </w:rPr>
        <w:t>Quando a largura da pista estiver entre 1,0 e 1,6 vezes a altura da montagem da luminária deve ser utilizada a posteação bilateral alternada. A Figura 4.4 apresenta esse posicionamento.</w:t>
      </w:r>
    </w:p>
    <w:p w14:paraId="3F02F44A" w14:textId="77777777" w:rsidR="00BB44EE" w:rsidRPr="00C44B09" w:rsidRDefault="00BB44EE" w:rsidP="00BB44EE">
      <w:pPr>
        <w:jc w:val="both"/>
        <w:rPr>
          <w:rFonts w:ascii="Arial" w:hAnsi="Arial" w:cs="Arial"/>
          <w:sz w:val="24"/>
          <w:szCs w:val="24"/>
        </w:rPr>
      </w:pPr>
      <w:r w:rsidRPr="00C44B09">
        <w:rPr>
          <w:rFonts w:ascii="Arial" w:hAnsi="Arial" w:cs="Arial"/>
          <w:noProof/>
          <w:sz w:val="24"/>
          <w:szCs w:val="24"/>
          <w:lang w:eastAsia="pt-BR"/>
        </w:rPr>
        <w:drawing>
          <wp:inline distT="0" distB="0" distL="0" distR="0" wp14:anchorId="073C6251" wp14:editId="329465E3">
            <wp:extent cx="5400675" cy="2819400"/>
            <wp:effectExtent l="0" t="0" r="9525" b="0"/>
            <wp:docPr id="73" name="Imagem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00675" cy="2819400"/>
                    </a:xfrm>
                    <a:prstGeom prst="rect">
                      <a:avLst/>
                    </a:prstGeom>
                    <a:noFill/>
                    <a:ln>
                      <a:noFill/>
                    </a:ln>
                  </pic:spPr>
                </pic:pic>
              </a:graphicData>
            </a:graphic>
          </wp:inline>
        </w:drawing>
      </w:r>
    </w:p>
    <w:p w14:paraId="6F627ED7" w14:textId="2DACB47C" w:rsidR="00BB44EE" w:rsidRPr="00C44B09" w:rsidRDefault="00BB44EE" w:rsidP="00BB44EE">
      <w:pPr>
        <w:jc w:val="both"/>
        <w:rPr>
          <w:rFonts w:ascii="Arial" w:hAnsi="Arial" w:cs="Arial"/>
          <w:b/>
          <w:sz w:val="24"/>
          <w:szCs w:val="24"/>
        </w:rPr>
      </w:pPr>
      <w:r w:rsidRPr="00C44B09">
        <w:rPr>
          <w:rFonts w:ascii="Arial" w:hAnsi="Arial" w:cs="Arial"/>
          <w:b/>
          <w:sz w:val="24"/>
          <w:szCs w:val="24"/>
        </w:rPr>
        <w:lastRenderedPageBreak/>
        <w:t xml:space="preserve">Posteação Bilateral Frente a Frente </w:t>
      </w:r>
    </w:p>
    <w:p w14:paraId="30A8F4A5" w14:textId="77777777" w:rsidR="00BB44EE" w:rsidRPr="00C44B09" w:rsidRDefault="00BB44EE" w:rsidP="00BB44EE">
      <w:pPr>
        <w:jc w:val="both"/>
        <w:rPr>
          <w:rFonts w:ascii="Arial" w:hAnsi="Arial" w:cs="Arial"/>
          <w:sz w:val="24"/>
          <w:szCs w:val="24"/>
        </w:rPr>
      </w:pPr>
      <w:r w:rsidRPr="00C44B09">
        <w:rPr>
          <w:rFonts w:ascii="Arial" w:hAnsi="Arial" w:cs="Arial"/>
          <w:sz w:val="24"/>
          <w:szCs w:val="24"/>
        </w:rPr>
        <w:t xml:space="preserve">A posteação bilateral frente a frente, é utilizada quando a largura da pista for superior a 1,6 vezes a altura de montagem da luminária, conforme mostrado na Figura 4.5. </w:t>
      </w:r>
    </w:p>
    <w:p w14:paraId="04BFEFC0" w14:textId="219D7440" w:rsidR="00BB44EE" w:rsidRPr="00C44B09" w:rsidRDefault="00BB44EE" w:rsidP="00A14057">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0215929B" wp14:editId="201E9A31">
            <wp:extent cx="4275948" cy="3133692"/>
            <wp:effectExtent l="0" t="0" r="0" b="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03321" cy="3153753"/>
                    </a:xfrm>
                    <a:prstGeom prst="rect">
                      <a:avLst/>
                    </a:prstGeom>
                    <a:noFill/>
                    <a:ln>
                      <a:noFill/>
                    </a:ln>
                  </pic:spPr>
                </pic:pic>
              </a:graphicData>
            </a:graphic>
          </wp:inline>
        </w:drawing>
      </w:r>
    </w:p>
    <w:p w14:paraId="525D54C4" w14:textId="5FD31FEB" w:rsidR="00BB44EE" w:rsidRPr="00C44B09" w:rsidRDefault="00BB44EE" w:rsidP="00BB44EE">
      <w:pPr>
        <w:jc w:val="both"/>
        <w:rPr>
          <w:rFonts w:ascii="Arial" w:hAnsi="Arial" w:cs="Arial"/>
          <w:b/>
          <w:sz w:val="24"/>
          <w:szCs w:val="24"/>
        </w:rPr>
      </w:pPr>
      <w:r w:rsidRPr="00C44B09">
        <w:rPr>
          <w:rFonts w:ascii="Arial" w:hAnsi="Arial" w:cs="Arial"/>
          <w:b/>
          <w:sz w:val="24"/>
          <w:szCs w:val="24"/>
        </w:rPr>
        <w:t xml:space="preserve">Posteação Central </w:t>
      </w:r>
    </w:p>
    <w:p w14:paraId="6189CFFF" w14:textId="62C815DF" w:rsidR="00BB44EE" w:rsidRPr="00C44B09" w:rsidRDefault="00BB44EE" w:rsidP="00BB44EE">
      <w:pPr>
        <w:jc w:val="both"/>
        <w:rPr>
          <w:rFonts w:ascii="Arial" w:hAnsi="Arial" w:cs="Arial"/>
          <w:sz w:val="24"/>
          <w:szCs w:val="24"/>
        </w:rPr>
      </w:pPr>
      <w:r w:rsidRPr="00C44B09">
        <w:rPr>
          <w:rFonts w:ascii="Arial" w:hAnsi="Arial" w:cs="Arial"/>
          <w:sz w:val="24"/>
          <w:szCs w:val="24"/>
        </w:rPr>
        <w:t>A posteação no canteiro central é usada quando a largura da pista é maior que 1,6 vezes a altura de montagem das luminárias e a largura do canteiro central (D) não ultrapasse a 6 metros, conforme ilustrado na Figura 4.6.</w:t>
      </w:r>
    </w:p>
    <w:p w14:paraId="7EFD5FF2" w14:textId="77777777" w:rsidR="00BB44EE" w:rsidRPr="00C44B09" w:rsidRDefault="00BB44EE" w:rsidP="00B404CD">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48DADA4F" wp14:editId="32218B70">
            <wp:extent cx="3472018" cy="2257425"/>
            <wp:effectExtent l="0" t="0" r="0" b="0"/>
            <wp:docPr id="75" name="Imagem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05023" cy="2278884"/>
                    </a:xfrm>
                    <a:prstGeom prst="rect">
                      <a:avLst/>
                    </a:prstGeom>
                    <a:noFill/>
                    <a:ln>
                      <a:noFill/>
                    </a:ln>
                  </pic:spPr>
                </pic:pic>
              </a:graphicData>
            </a:graphic>
          </wp:inline>
        </w:drawing>
      </w:r>
    </w:p>
    <w:p w14:paraId="3322D3AE" w14:textId="77777777" w:rsidR="004E6578" w:rsidRPr="00C44B09" w:rsidRDefault="00BB44EE" w:rsidP="00EB1981">
      <w:pPr>
        <w:jc w:val="both"/>
        <w:rPr>
          <w:rFonts w:ascii="Arial" w:hAnsi="Arial" w:cs="Arial"/>
          <w:sz w:val="24"/>
          <w:szCs w:val="24"/>
        </w:rPr>
      </w:pPr>
      <w:r w:rsidRPr="00C44B09">
        <w:rPr>
          <w:rFonts w:ascii="Arial" w:hAnsi="Arial" w:cs="Arial"/>
          <w:sz w:val="24"/>
          <w:szCs w:val="24"/>
        </w:rPr>
        <w:t xml:space="preserve">Para canteiros centrais com largura igual ou superior a 6 metros, recomenda-se utilizar a alternativa apresentada na Figura 4.7.  </w:t>
      </w:r>
    </w:p>
    <w:p w14:paraId="5956BFD9" w14:textId="361A89BC" w:rsidR="00BB44EE" w:rsidRPr="00C44B09" w:rsidRDefault="00BB44EE" w:rsidP="004E6578">
      <w:pPr>
        <w:jc w:val="center"/>
        <w:rPr>
          <w:rFonts w:ascii="Arial" w:hAnsi="Arial" w:cs="Arial"/>
          <w:sz w:val="24"/>
          <w:szCs w:val="24"/>
        </w:rPr>
      </w:pPr>
      <w:r w:rsidRPr="00C44B09">
        <w:rPr>
          <w:rFonts w:ascii="Arial" w:hAnsi="Arial" w:cs="Arial"/>
          <w:noProof/>
          <w:sz w:val="24"/>
          <w:szCs w:val="24"/>
          <w:lang w:eastAsia="pt-BR"/>
        </w:rPr>
        <w:lastRenderedPageBreak/>
        <w:drawing>
          <wp:inline distT="0" distB="0" distL="0" distR="0" wp14:anchorId="086E2BEA" wp14:editId="463D1428">
            <wp:extent cx="3859506" cy="2790825"/>
            <wp:effectExtent l="0" t="0" r="8255" b="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73001" cy="2800583"/>
                    </a:xfrm>
                    <a:prstGeom prst="rect">
                      <a:avLst/>
                    </a:prstGeom>
                    <a:noFill/>
                    <a:ln>
                      <a:noFill/>
                    </a:ln>
                  </pic:spPr>
                </pic:pic>
              </a:graphicData>
            </a:graphic>
          </wp:inline>
        </w:drawing>
      </w:r>
    </w:p>
    <w:p w14:paraId="674A676E" w14:textId="77777777" w:rsidR="00BB44EE" w:rsidRPr="00C44B09" w:rsidRDefault="00BB44EE" w:rsidP="00083CAD">
      <w:pPr>
        <w:jc w:val="center"/>
        <w:rPr>
          <w:rFonts w:ascii="Arial" w:hAnsi="Arial" w:cs="Arial"/>
          <w:sz w:val="24"/>
          <w:szCs w:val="24"/>
        </w:rPr>
      </w:pPr>
    </w:p>
    <w:p w14:paraId="700AC843" w14:textId="1C498989" w:rsidR="007236E9" w:rsidRPr="00C44B09" w:rsidRDefault="007236E9" w:rsidP="007236E9">
      <w:pPr>
        <w:jc w:val="both"/>
        <w:rPr>
          <w:rFonts w:ascii="Arial" w:hAnsi="Arial" w:cs="Arial"/>
          <w:sz w:val="24"/>
          <w:szCs w:val="24"/>
        </w:rPr>
        <w:sectPr w:rsidR="007236E9" w:rsidRPr="00C44B09" w:rsidSect="00220F47">
          <w:pgSz w:w="11906" w:h="16838"/>
          <w:pgMar w:top="1417" w:right="1701" w:bottom="1417" w:left="1701" w:header="708" w:footer="708" w:gutter="0"/>
          <w:cols w:space="708"/>
          <w:docGrid w:linePitch="360"/>
        </w:sectPr>
      </w:pPr>
      <w:r w:rsidRPr="00C44B09">
        <w:rPr>
          <w:rFonts w:ascii="Arial" w:hAnsi="Arial" w:cs="Arial"/>
          <w:sz w:val="24"/>
          <w:szCs w:val="24"/>
        </w:rPr>
        <w:t>Todos os estudos realizados</w:t>
      </w:r>
      <w:proofErr w:type="gramStart"/>
      <w:r w:rsidRPr="00C44B09">
        <w:rPr>
          <w:rFonts w:ascii="Arial" w:hAnsi="Arial" w:cs="Arial"/>
          <w:sz w:val="24"/>
          <w:szCs w:val="24"/>
        </w:rPr>
        <w:t>, foram</w:t>
      </w:r>
      <w:proofErr w:type="gramEnd"/>
      <w:r w:rsidRPr="00C44B09">
        <w:rPr>
          <w:rFonts w:ascii="Arial" w:hAnsi="Arial" w:cs="Arial"/>
          <w:sz w:val="24"/>
          <w:szCs w:val="24"/>
        </w:rPr>
        <w:t xml:space="preserve"> baseados na Norma 5101/2018 em suas simulações e também obedecendo algumas características particulares do município, pedida em simulações conforme Caderno Técnico</w:t>
      </w:r>
    </w:p>
    <w:p w14:paraId="0EBA98FB" w14:textId="62B69584" w:rsidR="006E5D5B" w:rsidRPr="00C44B09" w:rsidRDefault="006E5D5B" w:rsidP="00CB6EDA">
      <w:pPr>
        <w:pStyle w:val="Ttulo1"/>
        <w:numPr>
          <w:ilvl w:val="0"/>
          <w:numId w:val="20"/>
        </w:numPr>
        <w:spacing w:before="360" w:after="120"/>
        <w:ind w:left="993"/>
        <w:rPr>
          <w:rFonts w:cs="Arial"/>
          <w:bCs/>
          <w:sz w:val="24"/>
          <w:szCs w:val="24"/>
        </w:rPr>
      </w:pPr>
      <w:bookmarkStart w:id="34" w:name="_Toc34225759"/>
      <w:bookmarkStart w:id="35" w:name="_Toc149225894"/>
      <w:r w:rsidRPr="00C44B09">
        <w:rPr>
          <w:rFonts w:cs="Arial"/>
          <w:bCs/>
          <w:sz w:val="24"/>
          <w:szCs w:val="24"/>
        </w:rPr>
        <w:lastRenderedPageBreak/>
        <w:t xml:space="preserve">A CIDADE DE </w:t>
      </w:r>
      <w:bookmarkEnd w:id="34"/>
      <w:r w:rsidR="000A4F42">
        <w:rPr>
          <w:rFonts w:cs="Arial"/>
          <w:bCs/>
          <w:sz w:val="24"/>
          <w:szCs w:val="24"/>
        </w:rPr>
        <w:t>LIMOEIRO/PE</w:t>
      </w:r>
      <w:bookmarkEnd w:id="35"/>
    </w:p>
    <w:p w14:paraId="6A72A339" w14:textId="0541DDEA" w:rsidR="00D41863" w:rsidRPr="00C44B09" w:rsidRDefault="000A4F42" w:rsidP="008235B3">
      <w:pPr>
        <w:jc w:val="center"/>
        <w:rPr>
          <w:rFonts w:ascii="Arial" w:hAnsi="Arial" w:cs="Arial"/>
          <w:sz w:val="24"/>
          <w:szCs w:val="24"/>
        </w:rPr>
      </w:pPr>
      <w:r>
        <w:rPr>
          <w:rFonts w:ascii="Arial" w:hAnsi="Arial" w:cs="Arial"/>
          <w:noProof/>
          <w:sz w:val="24"/>
          <w:szCs w:val="24"/>
          <w:lang w:eastAsia="pt-BR"/>
        </w:rPr>
        <w:drawing>
          <wp:inline distT="0" distB="0" distL="0" distR="0" wp14:anchorId="2F33C77F" wp14:editId="74B9CDFE">
            <wp:extent cx="5397500" cy="2038350"/>
            <wp:effectExtent l="0" t="0" r="0" b="0"/>
            <wp:docPr id="19806410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397500" cy="2038350"/>
                    </a:xfrm>
                    <a:prstGeom prst="rect">
                      <a:avLst/>
                    </a:prstGeom>
                    <a:noFill/>
                    <a:ln>
                      <a:noFill/>
                    </a:ln>
                  </pic:spPr>
                </pic:pic>
              </a:graphicData>
            </a:graphic>
          </wp:inline>
        </w:drawing>
      </w:r>
    </w:p>
    <w:p w14:paraId="16CF836D" w14:textId="77777777" w:rsidR="000A4F42" w:rsidRPr="000A4F42" w:rsidRDefault="000A4F42" w:rsidP="000A4F42">
      <w:pPr>
        <w:jc w:val="both"/>
        <w:rPr>
          <w:rFonts w:ascii="Arial" w:hAnsi="Arial" w:cs="Arial"/>
          <w:sz w:val="24"/>
          <w:szCs w:val="24"/>
          <w:shd w:val="clear" w:color="auto" w:fill="FFFFFF"/>
        </w:rPr>
      </w:pPr>
      <w:bookmarkStart w:id="36" w:name="_Toc25132889"/>
      <w:bookmarkStart w:id="37" w:name="_Toc34225761"/>
      <w:r w:rsidRPr="000A4F42">
        <w:rPr>
          <w:rFonts w:ascii="Arial" w:hAnsi="Arial" w:cs="Arial"/>
          <w:sz w:val="24"/>
          <w:szCs w:val="24"/>
          <w:shd w:val="clear" w:color="auto" w:fill="FFFFFF"/>
        </w:rPr>
        <w:t>Limoeiro é um município brasileiro situado no estado de Pernambuco. Localizado na Mesorregião do Agreste Pernambucano e na Microrregião do Médio Capibaribe, possui uma área de 277,54 km². Sua padroeira é Nossa Senhora da Apresentação.</w:t>
      </w:r>
    </w:p>
    <w:p w14:paraId="212321B6" w14:textId="77777777" w:rsidR="000A4F42" w:rsidRPr="000A4F42" w:rsidRDefault="000A4F42" w:rsidP="000A4F42">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História</w:t>
      </w:r>
    </w:p>
    <w:p w14:paraId="5BD0F83D"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De acordo com uma velha lenda, Limoeiro foi uma aldeia de índios Tupis, numa região com muitos limoeiros (pés de limão), o que justifica o nome da cidade. Na história da fundação de Limoeiro, a origem do seu nome foi graças a um padre com o nome de Ponciano Coelho, que teria chegado à região para catequizar os índios. Conta-se que um dia chegou para morar perto de Limoeiro, em Poço do Pau, um português que tinha por nome Alexandre Moura, trazendo consigo a imagem de Nossa Senhora da Apresentação, imagem essa que atraía os índios. Alexandre Moura construiu perto de sua residência uma igrejinha, onde colocou a imagem da referida santa, que tinha missas celebradas pelo Pe. Ponciano Coelho, e organizando festas, sendo isso atração para as famílias que começaram a morar na localidade, ficando mais perto do movimento religioso.</w:t>
      </w:r>
    </w:p>
    <w:p w14:paraId="20697BD0"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Presume-se que o Pe. Ponciano Coelho fizera desaparecer a imagem de Nossa Senhora da Apresentação da Capela de Poço do Pau para Limoeiro, aldeia indígena onde hoje se ergue a torre da igreja matriz, marco da fundação do povoado chamado Limoeiro de Nossa Senhora da Apresentação. Pode-se acreditar que a antiga aldeia de índios, hoje, Limoeiro, foi fundada pelos padres Manuel dos Santos e João Duarte do Sacramento, em 1711.</w:t>
      </w:r>
    </w:p>
    <w:p w14:paraId="19FA2AC8"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De acordo com o escritor </w:t>
      </w:r>
      <w:proofErr w:type="spellStart"/>
      <w:r w:rsidRPr="000A4F42">
        <w:rPr>
          <w:rFonts w:ascii="Arial" w:hAnsi="Arial" w:cs="Arial"/>
          <w:sz w:val="24"/>
          <w:szCs w:val="24"/>
          <w:shd w:val="clear" w:color="auto" w:fill="FFFFFF"/>
        </w:rPr>
        <w:t>limoeirense</w:t>
      </w:r>
      <w:proofErr w:type="spellEnd"/>
      <w:r w:rsidRPr="000A4F42">
        <w:rPr>
          <w:rFonts w:ascii="Arial" w:hAnsi="Arial" w:cs="Arial"/>
          <w:sz w:val="24"/>
          <w:szCs w:val="24"/>
          <w:shd w:val="clear" w:color="auto" w:fill="FFFFFF"/>
        </w:rPr>
        <w:t xml:space="preserve"> Antônio de Souza Vilaça:</w:t>
      </w:r>
    </w:p>
    <w:p w14:paraId="3FA370B1" w14:textId="4DB4CD4A"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“Poder-se-ia dar guarida à lenda do Pe. Ponciano anteriormente contada, contudo se sabe que antes disso, ao aldeamento já se dera o nome de Limoeiro. Talvez o Pe. João Duarte do sacramento ou o Pe. Manuel dos </w:t>
      </w:r>
      <w:r w:rsidRPr="000A4F42">
        <w:rPr>
          <w:rFonts w:ascii="Arial" w:hAnsi="Arial" w:cs="Arial"/>
          <w:sz w:val="24"/>
          <w:szCs w:val="24"/>
          <w:shd w:val="clear" w:color="auto" w:fill="FFFFFF"/>
        </w:rPr>
        <w:lastRenderedPageBreak/>
        <w:t>Santos, os primeiros que cuidaram da catequese, sejam os responsáveis pelo sugestivo nome. Entretanto, consta de velho documento que o conde Maurício de Nassau ao relacionar as aldeias de sua jurisdição, Limoeiro, encabeçava a lista”</w:t>
      </w:r>
    </w:p>
    <w:p w14:paraId="7FC01C79" w14:textId="7DC19E0F"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Em 1752, o Pe. Ponciano Coelho recebeu a carta de Sesmaria, e Limoeiro cresceu deixando de ser aldeia de índios. A Sesmaria de Limoeiro se estendia desde o atual município de Feira Nova até o município Santa Cruz do Capibaribe e desde o município de Macaparana até o atual município de Passira. O extenso território foi perdido através de inúmeras emancipações políticas, que deram origem a 16 municípios.</w:t>
      </w:r>
    </w:p>
    <w:p w14:paraId="1B29CA0F" w14:textId="6FB494E9"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“No dia 6 de abril de 1893, Limoeiro passou a cidade, e como cidade a mesma teve seu primeiro prefeito Antônio José Pestana, seu primeiro Vigário Pe. Bartolomeu da Rocha. Neste dia se comemora a Emancipação Política de Limoeiro”.</w:t>
      </w:r>
    </w:p>
    <w:p w14:paraId="2D3955C0"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Bonde de tração animal em 1951.</w:t>
      </w:r>
    </w:p>
    <w:p w14:paraId="0B9B785A" w14:textId="77777777" w:rsidR="000A4F42" w:rsidRPr="007C7D07" w:rsidRDefault="000A4F42" w:rsidP="000A4F42">
      <w:pPr>
        <w:jc w:val="both"/>
        <w:rPr>
          <w:rFonts w:ascii="Arial" w:hAnsi="Arial" w:cs="Arial"/>
          <w:b/>
          <w:bCs/>
          <w:sz w:val="24"/>
          <w:szCs w:val="24"/>
          <w:shd w:val="clear" w:color="auto" w:fill="FFFFFF"/>
        </w:rPr>
      </w:pPr>
      <w:r w:rsidRPr="007C7D07">
        <w:rPr>
          <w:rFonts w:ascii="Arial" w:hAnsi="Arial" w:cs="Arial"/>
          <w:b/>
          <w:bCs/>
          <w:sz w:val="24"/>
          <w:szCs w:val="24"/>
          <w:shd w:val="clear" w:color="auto" w:fill="FFFFFF"/>
        </w:rPr>
        <w:t>Economia</w:t>
      </w:r>
    </w:p>
    <w:p w14:paraId="21557A42" w14:textId="77777777" w:rsidR="007C7D07"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Uma das principais feiras de gado da região, ocorre semanalmente em Limoeiro. </w:t>
      </w:r>
    </w:p>
    <w:p w14:paraId="42437E76" w14:textId="316C4310"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Organizada pela Sociedade dos Criadores de Limoeiro, a feira movimento aproximadamente R$ 1 milhão com a venda de 500 animais, em média.</w:t>
      </w:r>
    </w:p>
    <w:p w14:paraId="6605B600" w14:textId="77777777" w:rsidR="000A4F42" w:rsidRPr="007C7D07" w:rsidRDefault="000A4F42" w:rsidP="000A4F42">
      <w:pPr>
        <w:jc w:val="both"/>
        <w:rPr>
          <w:rFonts w:ascii="Arial" w:hAnsi="Arial" w:cs="Arial"/>
          <w:b/>
          <w:bCs/>
          <w:sz w:val="24"/>
          <w:szCs w:val="24"/>
          <w:shd w:val="clear" w:color="auto" w:fill="FFFFFF"/>
        </w:rPr>
      </w:pPr>
      <w:r w:rsidRPr="007C7D07">
        <w:rPr>
          <w:rFonts w:ascii="Arial" w:hAnsi="Arial" w:cs="Arial"/>
          <w:b/>
          <w:bCs/>
          <w:sz w:val="24"/>
          <w:szCs w:val="24"/>
          <w:shd w:val="clear" w:color="auto" w:fill="FFFFFF"/>
        </w:rPr>
        <w:t>Clima</w:t>
      </w:r>
    </w:p>
    <w:p w14:paraId="04240555"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O clima do município é do tipo tropical </w:t>
      </w:r>
      <w:proofErr w:type="spellStart"/>
      <w:r w:rsidRPr="000A4F42">
        <w:rPr>
          <w:rFonts w:ascii="Arial" w:hAnsi="Arial" w:cs="Arial"/>
          <w:sz w:val="24"/>
          <w:szCs w:val="24"/>
          <w:shd w:val="clear" w:color="auto" w:fill="FFFFFF"/>
        </w:rPr>
        <w:t>sub-úmido</w:t>
      </w:r>
      <w:proofErr w:type="spellEnd"/>
      <w:r w:rsidRPr="000A4F42">
        <w:rPr>
          <w:rFonts w:ascii="Arial" w:hAnsi="Arial" w:cs="Arial"/>
          <w:sz w:val="24"/>
          <w:szCs w:val="24"/>
          <w:shd w:val="clear" w:color="auto" w:fill="FFFFFF"/>
        </w:rPr>
        <w:t>, com período chuvoso nos meses de outono e inverno, entre março e agosto. O período seco ocorre nos meses de primavera e verão, entre setembro e fevereiro. A média anual de precipitações é de aproximadamente 1.000 mm.</w:t>
      </w:r>
    </w:p>
    <w:p w14:paraId="49F75400" w14:textId="77777777" w:rsidR="000A4F42" w:rsidRPr="000A4F42" w:rsidRDefault="000A4F42" w:rsidP="000A4F42">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Média de precipitação mensal e anual em mm (milímetros) segundo dados da Apac (Agência Pernambucana de Águas e Clima) e do </w:t>
      </w:r>
      <w:proofErr w:type="spellStart"/>
      <w:r w:rsidRPr="000A4F42">
        <w:rPr>
          <w:rFonts w:ascii="Arial" w:hAnsi="Arial" w:cs="Arial"/>
          <w:sz w:val="24"/>
          <w:szCs w:val="24"/>
          <w:shd w:val="clear" w:color="auto" w:fill="FFFFFF"/>
        </w:rPr>
        <w:t>Ipa</w:t>
      </w:r>
      <w:proofErr w:type="spellEnd"/>
      <w:r w:rsidRPr="000A4F42">
        <w:rPr>
          <w:rFonts w:ascii="Arial" w:hAnsi="Arial" w:cs="Arial"/>
          <w:sz w:val="24"/>
          <w:szCs w:val="24"/>
          <w:shd w:val="clear" w:color="auto" w:fill="FFFFFF"/>
        </w:rPr>
        <w:t xml:space="preserve"> (Instituto Agronômico de Pernambuco):</w:t>
      </w:r>
    </w:p>
    <w:p w14:paraId="31E37484"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Janeiro - 52,3 mm</w:t>
      </w:r>
    </w:p>
    <w:p w14:paraId="7DF9C018"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Fevereiro - 64,1 mm</w:t>
      </w:r>
    </w:p>
    <w:p w14:paraId="714B583E"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Março - 86,30 mm</w:t>
      </w:r>
    </w:p>
    <w:p w14:paraId="728548B8"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Abril - 113,2 mm</w:t>
      </w:r>
    </w:p>
    <w:p w14:paraId="7E43A0F8"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Maio - 135,5 mm</w:t>
      </w:r>
    </w:p>
    <w:p w14:paraId="03833A1E"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Junho - 166,7 mm</w:t>
      </w:r>
    </w:p>
    <w:p w14:paraId="5C59334A"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Julho - 141,8 mm</w:t>
      </w:r>
    </w:p>
    <w:p w14:paraId="65118608"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Agosto - 77,1 mm</w:t>
      </w:r>
    </w:p>
    <w:p w14:paraId="6C4FCD2D"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Setembro - 39,9 mm</w:t>
      </w:r>
    </w:p>
    <w:p w14:paraId="4C7F233E"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Outubro - 16,7 mm</w:t>
      </w:r>
    </w:p>
    <w:p w14:paraId="4477F0F1"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lastRenderedPageBreak/>
        <w:t>Novembro - 17,2 mm</w:t>
      </w:r>
    </w:p>
    <w:p w14:paraId="48632B36"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Dezembro - 28,6 mm</w:t>
      </w:r>
    </w:p>
    <w:p w14:paraId="1F7D9268" w14:textId="77777777" w:rsidR="000A4F42" w:rsidRPr="000A4F42" w:rsidRDefault="000A4F42" w:rsidP="000A4F42">
      <w:pPr>
        <w:spacing w:after="0" w:line="240" w:lineRule="auto"/>
        <w:rPr>
          <w:rFonts w:ascii="Arial" w:hAnsi="Arial" w:cs="Arial"/>
          <w:sz w:val="24"/>
          <w:szCs w:val="24"/>
          <w:shd w:val="clear" w:color="auto" w:fill="FFFFFF"/>
        </w:rPr>
      </w:pPr>
      <w:r w:rsidRPr="000A4F42">
        <w:rPr>
          <w:rFonts w:ascii="Arial" w:hAnsi="Arial" w:cs="Arial"/>
          <w:sz w:val="24"/>
          <w:szCs w:val="24"/>
          <w:shd w:val="clear" w:color="auto" w:fill="FFFFFF"/>
        </w:rPr>
        <w:t>Anual - 939,4 mm</w:t>
      </w:r>
    </w:p>
    <w:p w14:paraId="06831AE6" w14:textId="77777777" w:rsidR="000A4F42" w:rsidRPr="000A4F42" w:rsidRDefault="000A4F42" w:rsidP="000A4F42">
      <w:pPr>
        <w:spacing w:before="120"/>
        <w:rPr>
          <w:rFonts w:ascii="Arial" w:hAnsi="Arial" w:cs="Arial"/>
          <w:b/>
          <w:bCs/>
          <w:sz w:val="24"/>
          <w:szCs w:val="24"/>
          <w:shd w:val="clear" w:color="auto" w:fill="FFFFFF"/>
        </w:rPr>
      </w:pPr>
      <w:r w:rsidRPr="000A4F42">
        <w:rPr>
          <w:rFonts w:ascii="Arial" w:hAnsi="Arial" w:cs="Arial"/>
          <w:b/>
          <w:bCs/>
          <w:sz w:val="24"/>
          <w:szCs w:val="24"/>
          <w:shd w:val="clear" w:color="auto" w:fill="FFFFFF"/>
        </w:rPr>
        <w:t>Hidrografia</w:t>
      </w:r>
    </w:p>
    <w:p w14:paraId="6EAB9B28"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O município está inserido na bacia do Rio Capibaribe.</w:t>
      </w:r>
    </w:p>
    <w:p w14:paraId="799968F6" w14:textId="77777777" w:rsidR="000A4F42" w:rsidRPr="000A4F42" w:rsidRDefault="000A4F42" w:rsidP="007C7D07">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Vegetação</w:t>
      </w:r>
    </w:p>
    <w:p w14:paraId="0D5C9790"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Na região onde Limoeiro está localizado a predominância e da Caatinga arbórea. Encontramos também árvores típicas da Mata Atlântica.</w:t>
      </w:r>
    </w:p>
    <w:p w14:paraId="0E4DFCF5" w14:textId="77777777" w:rsidR="000A4F42" w:rsidRPr="000A4F42" w:rsidRDefault="000A4F42" w:rsidP="007C7D07">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Relevo</w:t>
      </w:r>
    </w:p>
    <w:p w14:paraId="60EDF188"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O município está localizado na unidade </w:t>
      </w:r>
      <w:proofErr w:type="spellStart"/>
      <w:r w:rsidRPr="000A4F42">
        <w:rPr>
          <w:rFonts w:ascii="Arial" w:hAnsi="Arial" w:cs="Arial"/>
          <w:sz w:val="24"/>
          <w:szCs w:val="24"/>
          <w:shd w:val="clear" w:color="auto" w:fill="FFFFFF"/>
        </w:rPr>
        <w:t>geoambiental</w:t>
      </w:r>
      <w:proofErr w:type="spellEnd"/>
      <w:r w:rsidRPr="000A4F42">
        <w:rPr>
          <w:rFonts w:ascii="Arial" w:hAnsi="Arial" w:cs="Arial"/>
          <w:sz w:val="24"/>
          <w:szCs w:val="24"/>
          <w:shd w:val="clear" w:color="auto" w:fill="FFFFFF"/>
        </w:rPr>
        <w:t xml:space="preserve"> do Planalto da Borborema.</w:t>
      </w:r>
    </w:p>
    <w:p w14:paraId="7E4195A9" w14:textId="77777777" w:rsidR="000A4F42" w:rsidRPr="000A4F42" w:rsidRDefault="000A4F42" w:rsidP="007C7D07">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Localização</w:t>
      </w:r>
    </w:p>
    <w:p w14:paraId="3517769F"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Localiza-se a uma latitude 07º52'29" sul e a uma longitude 35º27'01" oeste, estando a uma altitude de 138 metros.</w:t>
      </w:r>
    </w:p>
    <w:p w14:paraId="72EDF8CA" w14:textId="77777777" w:rsidR="000A4F42" w:rsidRPr="000A4F42" w:rsidRDefault="000A4F42" w:rsidP="007C7D07">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Limites municipais</w:t>
      </w:r>
    </w:p>
    <w:p w14:paraId="2E6E53D9" w14:textId="77777777" w:rsidR="000A4F42" w:rsidRPr="000A4F42" w:rsidRDefault="000A4F42" w:rsidP="007C7D07">
      <w:pPr>
        <w:spacing w:after="0" w:line="240" w:lineRule="auto"/>
        <w:jc w:val="both"/>
        <w:rPr>
          <w:rFonts w:ascii="Arial" w:hAnsi="Arial" w:cs="Arial"/>
          <w:sz w:val="24"/>
          <w:szCs w:val="24"/>
          <w:shd w:val="clear" w:color="auto" w:fill="FFFFFF"/>
        </w:rPr>
      </w:pPr>
      <w:r w:rsidRPr="000A4F42">
        <w:rPr>
          <w:rFonts w:ascii="Arial" w:hAnsi="Arial" w:cs="Arial"/>
          <w:sz w:val="24"/>
          <w:szCs w:val="24"/>
          <w:shd w:val="clear" w:color="auto" w:fill="FFFFFF"/>
        </w:rPr>
        <w:t>Norte: Vicência e Buenos Aires</w:t>
      </w:r>
    </w:p>
    <w:p w14:paraId="5993660D" w14:textId="77777777" w:rsidR="000A4F42" w:rsidRPr="000A4F42" w:rsidRDefault="000A4F42" w:rsidP="007C7D07">
      <w:pPr>
        <w:spacing w:after="0" w:line="240" w:lineRule="auto"/>
        <w:jc w:val="both"/>
        <w:rPr>
          <w:rFonts w:ascii="Arial" w:hAnsi="Arial" w:cs="Arial"/>
          <w:sz w:val="24"/>
          <w:szCs w:val="24"/>
          <w:shd w:val="clear" w:color="auto" w:fill="FFFFFF"/>
        </w:rPr>
      </w:pPr>
      <w:r w:rsidRPr="000A4F42">
        <w:rPr>
          <w:rFonts w:ascii="Arial" w:hAnsi="Arial" w:cs="Arial"/>
          <w:sz w:val="24"/>
          <w:szCs w:val="24"/>
          <w:shd w:val="clear" w:color="auto" w:fill="FFFFFF"/>
        </w:rPr>
        <w:t>Sul: Salgadinho, Passira e Feira Nova</w:t>
      </w:r>
    </w:p>
    <w:p w14:paraId="06BEDFBC" w14:textId="77777777" w:rsidR="000A4F42" w:rsidRPr="000A4F42" w:rsidRDefault="000A4F42" w:rsidP="007C7D07">
      <w:pPr>
        <w:spacing w:after="0" w:line="240" w:lineRule="auto"/>
        <w:jc w:val="both"/>
        <w:rPr>
          <w:rFonts w:ascii="Arial" w:hAnsi="Arial" w:cs="Arial"/>
          <w:sz w:val="24"/>
          <w:szCs w:val="24"/>
          <w:shd w:val="clear" w:color="auto" w:fill="FFFFFF"/>
        </w:rPr>
      </w:pPr>
      <w:r w:rsidRPr="000A4F42">
        <w:rPr>
          <w:rFonts w:ascii="Arial" w:hAnsi="Arial" w:cs="Arial"/>
          <w:sz w:val="24"/>
          <w:szCs w:val="24"/>
          <w:shd w:val="clear" w:color="auto" w:fill="FFFFFF"/>
        </w:rPr>
        <w:t>Oeste: Bom Jardim e João Alfredo</w:t>
      </w:r>
    </w:p>
    <w:p w14:paraId="6399EF0F" w14:textId="77777777" w:rsidR="000A4F42" w:rsidRPr="000A4F42" w:rsidRDefault="000A4F42" w:rsidP="007C7D07">
      <w:pPr>
        <w:spacing w:after="0" w:line="240" w:lineRule="auto"/>
        <w:jc w:val="both"/>
        <w:rPr>
          <w:rFonts w:ascii="Arial" w:hAnsi="Arial" w:cs="Arial"/>
          <w:sz w:val="24"/>
          <w:szCs w:val="24"/>
          <w:shd w:val="clear" w:color="auto" w:fill="FFFFFF"/>
        </w:rPr>
      </w:pPr>
      <w:r w:rsidRPr="000A4F42">
        <w:rPr>
          <w:rFonts w:ascii="Arial" w:hAnsi="Arial" w:cs="Arial"/>
          <w:sz w:val="24"/>
          <w:szCs w:val="24"/>
          <w:shd w:val="clear" w:color="auto" w:fill="FFFFFF"/>
        </w:rPr>
        <w:t>Leste: Carpina e Lagoa do Carro</w:t>
      </w:r>
    </w:p>
    <w:p w14:paraId="23750265" w14:textId="77777777" w:rsidR="000A4F42" w:rsidRPr="000A4F42" w:rsidRDefault="000A4F42" w:rsidP="007C7D07">
      <w:pPr>
        <w:spacing w:before="120"/>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Divisão Distrital</w:t>
      </w:r>
    </w:p>
    <w:p w14:paraId="5AE99E67"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 xml:space="preserve">Distrito-sede, </w:t>
      </w:r>
      <w:proofErr w:type="spellStart"/>
      <w:r w:rsidRPr="000A4F42">
        <w:rPr>
          <w:rFonts w:ascii="Arial" w:hAnsi="Arial" w:cs="Arial"/>
          <w:sz w:val="24"/>
          <w:szCs w:val="24"/>
          <w:shd w:val="clear" w:color="auto" w:fill="FFFFFF"/>
        </w:rPr>
        <w:t>Urucuba</w:t>
      </w:r>
      <w:proofErr w:type="spellEnd"/>
      <w:r w:rsidRPr="000A4F42">
        <w:rPr>
          <w:rFonts w:ascii="Arial" w:hAnsi="Arial" w:cs="Arial"/>
          <w:sz w:val="24"/>
          <w:szCs w:val="24"/>
          <w:shd w:val="clear" w:color="auto" w:fill="FFFFFF"/>
        </w:rPr>
        <w:t xml:space="preserve"> e Mendes.</w:t>
      </w:r>
    </w:p>
    <w:p w14:paraId="65FE14DC" w14:textId="77777777" w:rsidR="000A4F42" w:rsidRPr="000A4F42" w:rsidRDefault="000A4F42" w:rsidP="007C7D07">
      <w:pPr>
        <w:jc w:val="both"/>
        <w:rPr>
          <w:rFonts w:ascii="Arial" w:hAnsi="Arial" w:cs="Arial"/>
          <w:b/>
          <w:bCs/>
          <w:sz w:val="24"/>
          <w:szCs w:val="24"/>
          <w:shd w:val="clear" w:color="auto" w:fill="FFFFFF"/>
        </w:rPr>
      </w:pPr>
      <w:r w:rsidRPr="000A4F42">
        <w:rPr>
          <w:rFonts w:ascii="Arial" w:hAnsi="Arial" w:cs="Arial"/>
          <w:b/>
          <w:bCs/>
          <w:sz w:val="24"/>
          <w:szCs w:val="24"/>
          <w:shd w:val="clear" w:color="auto" w:fill="FFFFFF"/>
        </w:rPr>
        <w:t>Povoados</w:t>
      </w:r>
    </w:p>
    <w:p w14:paraId="5F732AF7" w14:textId="77777777" w:rsidR="000A4F42" w:rsidRPr="000A4F42" w:rsidRDefault="000A4F42" w:rsidP="007C7D07">
      <w:pPr>
        <w:jc w:val="both"/>
        <w:rPr>
          <w:rFonts w:ascii="Arial" w:hAnsi="Arial" w:cs="Arial"/>
          <w:sz w:val="24"/>
          <w:szCs w:val="24"/>
          <w:shd w:val="clear" w:color="auto" w:fill="FFFFFF"/>
        </w:rPr>
      </w:pPr>
      <w:r w:rsidRPr="000A4F42">
        <w:rPr>
          <w:rFonts w:ascii="Arial" w:hAnsi="Arial" w:cs="Arial"/>
          <w:sz w:val="24"/>
          <w:szCs w:val="24"/>
          <w:shd w:val="clear" w:color="auto" w:fill="FFFFFF"/>
        </w:rPr>
        <w:t>Gameleira, Mendes, Cedro, Pitombeira e Ribeiro do Mel.</w:t>
      </w:r>
    </w:p>
    <w:p w14:paraId="58391D5F" w14:textId="537819A9" w:rsidR="007213BE" w:rsidRPr="00C44B09" w:rsidRDefault="007213BE" w:rsidP="007C7D07">
      <w:pPr>
        <w:pStyle w:val="Ttulo1"/>
        <w:numPr>
          <w:ilvl w:val="0"/>
          <w:numId w:val="20"/>
        </w:numPr>
        <w:spacing w:before="4320" w:after="120"/>
        <w:ind w:left="993"/>
        <w:rPr>
          <w:rFonts w:cs="Arial"/>
          <w:bCs/>
          <w:sz w:val="24"/>
          <w:szCs w:val="24"/>
        </w:rPr>
      </w:pPr>
      <w:bookmarkStart w:id="38" w:name="_Toc149225895"/>
      <w:r w:rsidRPr="00C44B09">
        <w:rPr>
          <w:rFonts w:cs="Arial"/>
          <w:bCs/>
          <w:sz w:val="24"/>
          <w:szCs w:val="24"/>
        </w:rPr>
        <w:lastRenderedPageBreak/>
        <w:t>NECESSIDADES ESPECIAIS DO PROJETO</w:t>
      </w:r>
      <w:bookmarkEnd w:id="38"/>
    </w:p>
    <w:p w14:paraId="167EC297" w14:textId="11F56626" w:rsidR="004F3066" w:rsidRPr="00C44B09" w:rsidRDefault="004F3066" w:rsidP="00CB6EDA">
      <w:pPr>
        <w:pStyle w:val="Ttulo2"/>
        <w:numPr>
          <w:ilvl w:val="1"/>
          <w:numId w:val="20"/>
        </w:numPr>
        <w:spacing w:before="120" w:beforeAutospacing="0" w:after="120" w:afterAutospacing="0"/>
        <w:ind w:left="709"/>
        <w:rPr>
          <w:rFonts w:cs="Arial"/>
          <w:sz w:val="24"/>
          <w:szCs w:val="24"/>
        </w:rPr>
      </w:pPr>
      <w:bookmarkStart w:id="39" w:name="_Toc149225896"/>
      <w:r w:rsidRPr="00C44B09">
        <w:rPr>
          <w:rFonts w:cs="Arial"/>
          <w:sz w:val="24"/>
          <w:szCs w:val="24"/>
        </w:rPr>
        <w:t xml:space="preserve">NIVEL BOLHA PREFERENCIALMENTE ACOPLADO OU TESTE FEITO POR FERRAMENTA EXTERNA </w:t>
      </w:r>
      <w:r w:rsidR="00841D48" w:rsidRPr="00C44B09">
        <w:rPr>
          <w:rFonts w:cs="Arial"/>
          <w:sz w:val="24"/>
          <w:szCs w:val="24"/>
        </w:rPr>
        <w:t>E ANGULAÇÃO DAS LUMINÁRIAS</w:t>
      </w:r>
      <w:bookmarkEnd w:id="39"/>
    </w:p>
    <w:p w14:paraId="34F8E417" w14:textId="37ED7FDC" w:rsidR="004F3066" w:rsidRPr="00C44B09" w:rsidRDefault="005D56D1" w:rsidP="00A05102">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655C9D97" wp14:editId="456B5A9B">
            <wp:extent cx="1344192" cy="580390"/>
            <wp:effectExtent l="0" t="0" r="8890" b="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93997" cy="601894"/>
                    </a:xfrm>
                    <a:prstGeom prst="rect">
                      <a:avLst/>
                    </a:prstGeom>
                    <a:noFill/>
                    <a:ln>
                      <a:noFill/>
                    </a:ln>
                  </pic:spPr>
                </pic:pic>
              </a:graphicData>
            </a:graphic>
          </wp:inline>
        </w:drawing>
      </w:r>
      <w:r w:rsidRPr="00C44B09">
        <w:rPr>
          <w:rFonts w:ascii="Arial" w:hAnsi="Arial" w:cs="Arial"/>
          <w:noProof/>
          <w:sz w:val="24"/>
          <w:szCs w:val="24"/>
          <w:lang w:eastAsia="pt-BR"/>
        </w:rPr>
        <w:drawing>
          <wp:inline distT="0" distB="0" distL="0" distR="0" wp14:anchorId="0C61E49E" wp14:editId="714138BB">
            <wp:extent cx="2409825" cy="1133475"/>
            <wp:effectExtent l="0" t="0" r="9525" b="9525"/>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409825" cy="1133475"/>
                    </a:xfrm>
                    <a:prstGeom prst="rect">
                      <a:avLst/>
                    </a:prstGeom>
                    <a:noFill/>
                    <a:ln>
                      <a:noFill/>
                    </a:ln>
                  </pic:spPr>
                </pic:pic>
              </a:graphicData>
            </a:graphic>
          </wp:inline>
        </w:drawing>
      </w:r>
      <w:r w:rsidR="00FD273C" w:rsidRPr="00C44B09">
        <w:rPr>
          <w:rFonts w:ascii="Arial" w:hAnsi="Arial" w:cs="Arial"/>
          <w:sz w:val="24"/>
          <w:szCs w:val="24"/>
        </w:rPr>
        <w:t xml:space="preserve"> </w:t>
      </w:r>
      <w:r w:rsidR="00FD273C" w:rsidRPr="00C44B09">
        <w:rPr>
          <w:rFonts w:ascii="Arial" w:hAnsi="Arial" w:cs="Arial"/>
          <w:noProof/>
          <w:sz w:val="24"/>
          <w:szCs w:val="24"/>
          <w:lang w:eastAsia="pt-BR"/>
        </w:rPr>
        <w:drawing>
          <wp:inline distT="0" distB="0" distL="0" distR="0" wp14:anchorId="3302D5B3" wp14:editId="17C1E10B">
            <wp:extent cx="2148840" cy="2148840"/>
            <wp:effectExtent l="0" t="0" r="3810" b="3810"/>
            <wp:docPr id="4" name="Imagem 4" descr="Ângulo de Exibição Ângulo de Plástico Nível de Pinça Digital Régua  Dois-em-um Transferidor Caliper Preto Vern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Ângulo de Exibição Ângulo de Plástico Nível de Pinça Digital Régua  Dois-em-um Transferidor Caliper Preto Vernier"/>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148840" cy="2148840"/>
                    </a:xfrm>
                    <a:prstGeom prst="rect">
                      <a:avLst/>
                    </a:prstGeom>
                    <a:noFill/>
                    <a:ln>
                      <a:noFill/>
                    </a:ln>
                  </pic:spPr>
                </pic:pic>
              </a:graphicData>
            </a:graphic>
          </wp:inline>
        </w:drawing>
      </w:r>
    </w:p>
    <w:p w14:paraId="454F6981" w14:textId="6DD58FDE" w:rsidR="00CD2B4F" w:rsidRPr="00C44B09" w:rsidRDefault="00CD2B4F" w:rsidP="00A05102">
      <w:pPr>
        <w:jc w:val="center"/>
        <w:rPr>
          <w:rFonts w:ascii="Arial" w:hAnsi="Arial" w:cs="Arial"/>
          <w:sz w:val="24"/>
          <w:szCs w:val="24"/>
        </w:rPr>
      </w:pPr>
      <w:r w:rsidRPr="00C44B09">
        <w:rPr>
          <w:rFonts w:ascii="Arial" w:hAnsi="Arial" w:cs="Arial"/>
          <w:noProof/>
          <w:sz w:val="24"/>
          <w:szCs w:val="24"/>
          <w:lang w:eastAsia="pt-BR"/>
        </w:rPr>
        <w:drawing>
          <wp:inline distT="0" distB="0" distL="0" distR="0" wp14:anchorId="6F2D59A1" wp14:editId="18541C7C">
            <wp:extent cx="5384800" cy="2603500"/>
            <wp:effectExtent l="0" t="0" r="6350" b="635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84800" cy="2603500"/>
                    </a:xfrm>
                    <a:prstGeom prst="rect">
                      <a:avLst/>
                    </a:prstGeom>
                    <a:noFill/>
                    <a:ln>
                      <a:noFill/>
                    </a:ln>
                  </pic:spPr>
                </pic:pic>
              </a:graphicData>
            </a:graphic>
          </wp:inline>
        </w:drawing>
      </w:r>
    </w:p>
    <w:p w14:paraId="53935F95" w14:textId="00712E18" w:rsidR="00CD2B4F" w:rsidRPr="00C44B09" w:rsidRDefault="00CD2B4F" w:rsidP="005D56D1">
      <w:pPr>
        <w:jc w:val="both"/>
        <w:rPr>
          <w:rFonts w:ascii="Arial" w:hAnsi="Arial" w:cs="Arial"/>
          <w:sz w:val="24"/>
          <w:szCs w:val="24"/>
        </w:rPr>
      </w:pPr>
      <w:r w:rsidRPr="00C44B09">
        <w:rPr>
          <w:rFonts w:ascii="Arial" w:hAnsi="Arial" w:cs="Arial"/>
          <w:sz w:val="24"/>
          <w:szCs w:val="24"/>
        </w:rPr>
        <w:t xml:space="preserve">Quando se trata de um parque de iluminação, onde os braços só serão trocados caso realmente haja a necessidade, e todo arranjo de fixação e angulações existentes serão aproveitados, a luminária fica como único ponto de acerto de inclinações para atendimento ao projeto </w:t>
      </w:r>
      <w:r w:rsidR="000C4902" w:rsidRPr="00C44B09">
        <w:rPr>
          <w:rFonts w:ascii="Arial" w:hAnsi="Arial" w:cs="Arial"/>
          <w:sz w:val="24"/>
          <w:szCs w:val="24"/>
        </w:rPr>
        <w:t>concebido</w:t>
      </w:r>
      <w:r w:rsidRPr="00C44B09">
        <w:rPr>
          <w:rFonts w:ascii="Arial" w:hAnsi="Arial" w:cs="Arial"/>
          <w:sz w:val="24"/>
          <w:szCs w:val="24"/>
        </w:rPr>
        <w:t>.</w:t>
      </w:r>
    </w:p>
    <w:p w14:paraId="7AAF2404" w14:textId="0D25D65B" w:rsidR="004F3066" w:rsidRPr="00C44B09" w:rsidRDefault="004F3066" w:rsidP="005D56D1">
      <w:pPr>
        <w:jc w:val="both"/>
        <w:rPr>
          <w:rFonts w:ascii="Arial" w:hAnsi="Arial" w:cs="Arial"/>
          <w:sz w:val="24"/>
          <w:szCs w:val="24"/>
        </w:rPr>
      </w:pPr>
      <w:r w:rsidRPr="00C44B09">
        <w:rPr>
          <w:rFonts w:ascii="Arial" w:hAnsi="Arial" w:cs="Arial"/>
          <w:sz w:val="24"/>
          <w:szCs w:val="24"/>
        </w:rPr>
        <w:lastRenderedPageBreak/>
        <w:t xml:space="preserve">Seguindo </w:t>
      </w:r>
      <w:r w:rsidR="00841D48" w:rsidRPr="00C44B09">
        <w:rPr>
          <w:rFonts w:ascii="Arial" w:hAnsi="Arial" w:cs="Arial"/>
          <w:sz w:val="24"/>
          <w:szCs w:val="24"/>
        </w:rPr>
        <w:t>a concepção</w:t>
      </w:r>
      <w:r w:rsidR="000E1AAD" w:rsidRPr="00C44B09">
        <w:rPr>
          <w:rFonts w:ascii="Arial" w:hAnsi="Arial" w:cs="Arial"/>
          <w:sz w:val="24"/>
          <w:szCs w:val="24"/>
        </w:rPr>
        <w:t xml:space="preserve"> de Projeto, a necessidade de orientação através de instrumentos</w:t>
      </w:r>
      <w:r w:rsidR="00CD2B4F" w:rsidRPr="00C44B09">
        <w:rPr>
          <w:rFonts w:ascii="Arial" w:hAnsi="Arial" w:cs="Arial"/>
          <w:sz w:val="24"/>
          <w:szCs w:val="24"/>
        </w:rPr>
        <w:t xml:space="preserve"> deve ser obrigatória</w:t>
      </w:r>
      <w:r w:rsidR="000E1AAD" w:rsidRPr="00C44B09">
        <w:rPr>
          <w:rFonts w:ascii="Arial" w:hAnsi="Arial" w:cs="Arial"/>
          <w:sz w:val="24"/>
          <w:szCs w:val="24"/>
        </w:rPr>
        <w:t xml:space="preserve">, e não a olho </w:t>
      </w:r>
      <w:r w:rsidR="007931FB" w:rsidRPr="00C44B09">
        <w:rPr>
          <w:rFonts w:ascii="Arial" w:hAnsi="Arial" w:cs="Arial"/>
          <w:sz w:val="24"/>
          <w:szCs w:val="24"/>
        </w:rPr>
        <w:t>nu</w:t>
      </w:r>
      <w:r w:rsidR="000E1AAD" w:rsidRPr="00C44B09">
        <w:rPr>
          <w:rFonts w:ascii="Arial" w:hAnsi="Arial" w:cs="Arial"/>
          <w:sz w:val="24"/>
          <w:szCs w:val="24"/>
        </w:rPr>
        <w:t>, para que as angulações e inclinações seja</w:t>
      </w:r>
      <w:r w:rsidR="00CD2B4F" w:rsidRPr="00C44B09">
        <w:rPr>
          <w:rFonts w:ascii="Arial" w:hAnsi="Arial" w:cs="Arial"/>
          <w:sz w:val="24"/>
          <w:szCs w:val="24"/>
        </w:rPr>
        <w:t>m</w:t>
      </w:r>
      <w:r w:rsidR="000E1AAD" w:rsidRPr="00C44B09">
        <w:rPr>
          <w:rFonts w:ascii="Arial" w:hAnsi="Arial" w:cs="Arial"/>
          <w:sz w:val="24"/>
          <w:szCs w:val="24"/>
        </w:rPr>
        <w:t xml:space="preserve"> totalmente </w:t>
      </w:r>
      <w:r w:rsidR="005D56D1" w:rsidRPr="00C44B09">
        <w:rPr>
          <w:rFonts w:ascii="Arial" w:hAnsi="Arial" w:cs="Arial"/>
          <w:sz w:val="24"/>
          <w:szCs w:val="24"/>
        </w:rPr>
        <w:t>atendida</w:t>
      </w:r>
      <w:r w:rsidR="00CD2B4F" w:rsidRPr="00C44B09">
        <w:rPr>
          <w:rFonts w:ascii="Arial" w:hAnsi="Arial" w:cs="Arial"/>
          <w:sz w:val="24"/>
          <w:szCs w:val="24"/>
        </w:rPr>
        <w:t>s</w:t>
      </w:r>
      <w:r w:rsidR="000E1AAD" w:rsidRPr="00C44B09">
        <w:rPr>
          <w:rFonts w:ascii="Arial" w:hAnsi="Arial" w:cs="Arial"/>
          <w:sz w:val="24"/>
          <w:szCs w:val="24"/>
        </w:rPr>
        <w:t xml:space="preserve">, </w:t>
      </w:r>
      <w:r w:rsidR="00CD2B4F" w:rsidRPr="00C44B09">
        <w:rPr>
          <w:rFonts w:ascii="Arial" w:hAnsi="Arial" w:cs="Arial"/>
          <w:sz w:val="24"/>
          <w:szCs w:val="24"/>
        </w:rPr>
        <w:t xml:space="preserve">tanto para situações de grau negativo, como também para graus positivos, </w:t>
      </w:r>
      <w:r w:rsidR="000E1AAD" w:rsidRPr="00C44B09">
        <w:rPr>
          <w:rFonts w:ascii="Arial" w:hAnsi="Arial" w:cs="Arial"/>
          <w:sz w:val="24"/>
          <w:szCs w:val="24"/>
        </w:rPr>
        <w:t>para que não se tenha as seguintes situações demonstrada abaixo:</w:t>
      </w:r>
    </w:p>
    <w:p w14:paraId="725C66E9" w14:textId="0DAA31B6" w:rsidR="000E1AAD" w:rsidRPr="00C44B09" w:rsidRDefault="000E1AAD" w:rsidP="004F3066">
      <w:pPr>
        <w:rPr>
          <w:rFonts w:ascii="Arial" w:hAnsi="Arial" w:cs="Arial"/>
          <w:sz w:val="24"/>
          <w:szCs w:val="24"/>
        </w:rPr>
      </w:pPr>
    </w:p>
    <w:p w14:paraId="5A56C28E" w14:textId="77777777" w:rsidR="000E1AAD" w:rsidRPr="00C44B09" w:rsidRDefault="000E1AAD" w:rsidP="004F3066">
      <w:pPr>
        <w:rPr>
          <w:rFonts w:ascii="Arial" w:hAnsi="Arial" w:cs="Arial"/>
          <w:sz w:val="24"/>
          <w:szCs w:val="24"/>
        </w:rPr>
      </w:pPr>
      <w:r w:rsidRPr="00C44B09">
        <w:rPr>
          <w:rFonts w:ascii="Arial" w:hAnsi="Arial" w:cs="Arial"/>
          <w:noProof/>
          <w:sz w:val="24"/>
          <w:szCs w:val="24"/>
          <w:lang w:eastAsia="pt-BR"/>
        </w:rPr>
        <w:drawing>
          <wp:inline distT="0" distB="0" distL="0" distR="0" wp14:anchorId="306A7187" wp14:editId="3483235C">
            <wp:extent cx="5400040" cy="1381125"/>
            <wp:effectExtent l="0" t="0" r="0" b="952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1381125"/>
                    </a:xfrm>
                    <a:prstGeom prst="rect">
                      <a:avLst/>
                    </a:prstGeom>
                    <a:noFill/>
                    <a:ln>
                      <a:noFill/>
                    </a:ln>
                  </pic:spPr>
                </pic:pic>
              </a:graphicData>
            </a:graphic>
          </wp:inline>
        </w:drawing>
      </w:r>
    </w:p>
    <w:p w14:paraId="37AAA768" w14:textId="028BD8C8" w:rsidR="000E1AAD" w:rsidRPr="00C44B09" w:rsidRDefault="000E1AAD" w:rsidP="005D56D1">
      <w:pPr>
        <w:jc w:val="both"/>
        <w:rPr>
          <w:rFonts w:ascii="Arial" w:hAnsi="Arial" w:cs="Arial"/>
          <w:sz w:val="24"/>
          <w:szCs w:val="24"/>
        </w:rPr>
      </w:pPr>
      <w:r w:rsidRPr="00C44B09">
        <w:rPr>
          <w:rFonts w:ascii="Arial" w:hAnsi="Arial" w:cs="Arial"/>
          <w:sz w:val="24"/>
          <w:szCs w:val="24"/>
        </w:rPr>
        <w:t>Situação de uma instalação recente de LED</w:t>
      </w:r>
      <w:r w:rsidR="005D56D1" w:rsidRPr="00C44B09">
        <w:rPr>
          <w:rFonts w:ascii="Arial" w:hAnsi="Arial" w:cs="Arial"/>
          <w:sz w:val="24"/>
          <w:szCs w:val="24"/>
        </w:rPr>
        <w:t xml:space="preserve"> em uma mesma avenida</w:t>
      </w:r>
      <w:r w:rsidRPr="00C44B09">
        <w:rPr>
          <w:rFonts w:ascii="Arial" w:hAnsi="Arial" w:cs="Arial"/>
          <w:sz w:val="24"/>
          <w:szCs w:val="24"/>
        </w:rPr>
        <w:t xml:space="preserve">, </w:t>
      </w:r>
      <w:r w:rsidR="009E5A09" w:rsidRPr="00C44B09">
        <w:rPr>
          <w:rFonts w:ascii="Arial" w:hAnsi="Arial" w:cs="Arial"/>
          <w:sz w:val="24"/>
          <w:szCs w:val="24"/>
        </w:rPr>
        <w:t>sem ser</w:t>
      </w:r>
      <w:r w:rsidR="005D56D1" w:rsidRPr="00C44B09">
        <w:rPr>
          <w:rFonts w:ascii="Arial" w:hAnsi="Arial" w:cs="Arial"/>
          <w:sz w:val="24"/>
          <w:szCs w:val="24"/>
        </w:rPr>
        <w:t xml:space="preserve"> obedecido uma altura padrão, sem </w:t>
      </w:r>
      <w:r w:rsidRPr="00C44B09">
        <w:rPr>
          <w:rFonts w:ascii="Arial" w:hAnsi="Arial" w:cs="Arial"/>
          <w:sz w:val="24"/>
          <w:szCs w:val="24"/>
        </w:rPr>
        <w:t xml:space="preserve">as correções de </w:t>
      </w:r>
      <w:r w:rsidR="005D56D1" w:rsidRPr="00C44B09">
        <w:rPr>
          <w:rFonts w:ascii="Arial" w:hAnsi="Arial" w:cs="Arial"/>
          <w:sz w:val="24"/>
          <w:szCs w:val="24"/>
        </w:rPr>
        <w:t xml:space="preserve">posicionamento dos </w:t>
      </w:r>
      <w:r w:rsidRPr="00C44B09">
        <w:rPr>
          <w:rFonts w:ascii="Arial" w:hAnsi="Arial" w:cs="Arial"/>
          <w:sz w:val="24"/>
          <w:szCs w:val="24"/>
        </w:rPr>
        <w:t>braço</w:t>
      </w:r>
      <w:r w:rsidR="005D56D1" w:rsidRPr="00C44B09">
        <w:rPr>
          <w:rFonts w:ascii="Arial" w:hAnsi="Arial" w:cs="Arial"/>
          <w:sz w:val="24"/>
          <w:szCs w:val="24"/>
        </w:rPr>
        <w:t>s</w:t>
      </w:r>
      <w:r w:rsidRPr="00C44B09">
        <w:rPr>
          <w:rFonts w:ascii="Arial" w:hAnsi="Arial" w:cs="Arial"/>
          <w:sz w:val="24"/>
          <w:szCs w:val="24"/>
        </w:rPr>
        <w:t xml:space="preserve"> </w:t>
      </w:r>
      <w:r w:rsidR="005D56D1" w:rsidRPr="00C44B09">
        <w:rPr>
          <w:rFonts w:ascii="Arial" w:hAnsi="Arial" w:cs="Arial"/>
          <w:sz w:val="24"/>
          <w:szCs w:val="24"/>
        </w:rPr>
        <w:t xml:space="preserve">e ajustes de angulação </w:t>
      </w:r>
      <w:r w:rsidRPr="00C44B09">
        <w:rPr>
          <w:rFonts w:ascii="Arial" w:hAnsi="Arial" w:cs="Arial"/>
          <w:sz w:val="24"/>
          <w:szCs w:val="24"/>
        </w:rPr>
        <w:t>correto da luminária, ocasionando diversas distorções na iluminação da via</w:t>
      </w:r>
      <w:r w:rsidR="005D56D1" w:rsidRPr="00C44B09">
        <w:rPr>
          <w:rFonts w:ascii="Arial" w:hAnsi="Arial" w:cs="Arial"/>
          <w:sz w:val="24"/>
          <w:szCs w:val="24"/>
        </w:rPr>
        <w:t>.</w:t>
      </w:r>
    </w:p>
    <w:p w14:paraId="4A0829D4" w14:textId="731B0F08" w:rsidR="00CD02C2" w:rsidRPr="00C44B09" w:rsidRDefault="00CD02C2" w:rsidP="005D56D1">
      <w:pPr>
        <w:jc w:val="both"/>
        <w:rPr>
          <w:rFonts w:ascii="Arial" w:hAnsi="Arial" w:cs="Arial"/>
          <w:sz w:val="24"/>
          <w:szCs w:val="24"/>
        </w:rPr>
      </w:pPr>
      <w:r w:rsidRPr="00C44B09">
        <w:rPr>
          <w:rFonts w:ascii="Arial" w:hAnsi="Arial" w:cs="Arial"/>
          <w:sz w:val="24"/>
          <w:szCs w:val="24"/>
        </w:rPr>
        <w:t>Vale salientar que conforme normativa 5101/2018, as luminárias precisam ser ensaiadas fotometricamente, conforme item</w:t>
      </w:r>
      <w:r w:rsidR="00D9692A" w:rsidRPr="00C44B09">
        <w:rPr>
          <w:rFonts w:ascii="Arial" w:hAnsi="Arial" w:cs="Arial"/>
          <w:sz w:val="24"/>
          <w:szCs w:val="24"/>
        </w:rPr>
        <w:t xml:space="preserve"> B.2 da classificação das distribuições de intensidade luminosa, em relação aos ângulos de 0 a 15°, comprovado que nas angulações de projeto, elas mantem a distribuição de Totalmente Limitada, ou limitada, não sendo aceito as semi limitadas nem as sem limitações no processo.</w:t>
      </w:r>
    </w:p>
    <w:p w14:paraId="7DDB561E" w14:textId="0FD69A15" w:rsidR="005D56D1" w:rsidRPr="00C44B09" w:rsidRDefault="005D56D1" w:rsidP="00CB6EDA">
      <w:pPr>
        <w:pStyle w:val="Ttulo2"/>
        <w:numPr>
          <w:ilvl w:val="1"/>
          <w:numId w:val="20"/>
        </w:numPr>
        <w:spacing w:before="120" w:beforeAutospacing="0" w:after="120" w:afterAutospacing="0"/>
        <w:ind w:left="709"/>
        <w:rPr>
          <w:rFonts w:cs="Arial"/>
          <w:sz w:val="24"/>
          <w:szCs w:val="24"/>
        </w:rPr>
      </w:pPr>
      <w:bookmarkStart w:id="40" w:name="_Toc149225897"/>
      <w:r w:rsidRPr="00C44B09">
        <w:rPr>
          <w:rFonts w:cs="Arial"/>
          <w:sz w:val="24"/>
          <w:szCs w:val="24"/>
        </w:rPr>
        <w:t>FATOR DE POTÊNCIA</w:t>
      </w:r>
      <w:r w:rsidR="00B973CE" w:rsidRPr="00C44B09">
        <w:rPr>
          <w:rFonts w:cs="Arial"/>
          <w:sz w:val="24"/>
          <w:szCs w:val="24"/>
        </w:rPr>
        <w:t xml:space="preserve"> FP≥0,97</w:t>
      </w:r>
      <w:bookmarkEnd w:id="40"/>
    </w:p>
    <w:p w14:paraId="2FEAB932" w14:textId="44561720" w:rsidR="007931FB" w:rsidRPr="00C44B09" w:rsidRDefault="00C469D9" w:rsidP="007931FB">
      <w:pPr>
        <w:jc w:val="both"/>
        <w:rPr>
          <w:rFonts w:ascii="Arial" w:hAnsi="Arial" w:cs="Arial"/>
          <w:color w:val="222222"/>
          <w:sz w:val="24"/>
          <w:szCs w:val="24"/>
          <w:shd w:val="clear" w:color="auto" w:fill="FFFFFF"/>
        </w:rPr>
      </w:pPr>
      <w:r w:rsidRPr="00C44B09">
        <w:rPr>
          <w:rFonts w:ascii="Arial" w:hAnsi="Arial" w:cs="Arial"/>
          <w:sz w:val="24"/>
          <w:szCs w:val="24"/>
        </w:rPr>
        <w:t xml:space="preserve">O fator de potência de uma luminária LED, </w:t>
      </w:r>
      <w:r w:rsidRPr="00C44B09">
        <w:rPr>
          <w:rFonts w:ascii="Arial" w:hAnsi="Arial" w:cs="Arial"/>
          <w:color w:val="222222"/>
          <w:sz w:val="24"/>
          <w:szCs w:val="24"/>
          <w:shd w:val="clear" w:color="auto" w:fill="FFFFFF"/>
        </w:rPr>
        <w:t>indica a eficiência do uso da energia. Um alto </w:t>
      </w:r>
      <w:r w:rsidRPr="00C44B09">
        <w:rPr>
          <w:rFonts w:ascii="Arial" w:hAnsi="Arial" w:cs="Arial"/>
          <w:b/>
          <w:bCs/>
          <w:color w:val="222222"/>
          <w:sz w:val="24"/>
          <w:szCs w:val="24"/>
          <w:shd w:val="clear" w:color="auto" w:fill="FFFFFF"/>
        </w:rPr>
        <w:t>fator de potência</w:t>
      </w:r>
      <w:r w:rsidRPr="00C44B09">
        <w:rPr>
          <w:rFonts w:ascii="Arial" w:hAnsi="Arial" w:cs="Arial"/>
          <w:color w:val="222222"/>
          <w:sz w:val="24"/>
          <w:szCs w:val="24"/>
          <w:shd w:val="clear" w:color="auto" w:fill="FFFFFF"/>
        </w:rPr>
        <w:t> indica uma eficiência alta e inversamente, um </w:t>
      </w:r>
      <w:r w:rsidRPr="00C44B09">
        <w:rPr>
          <w:rFonts w:ascii="Arial" w:hAnsi="Arial" w:cs="Arial"/>
          <w:b/>
          <w:bCs/>
          <w:color w:val="222222"/>
          <w:sz w:val="24"/>
          <w:szCs w:val="24"/>
          <w:shd w:val="clear" w:color="auto" w:fill="FFFFFF"/>
        </w:rPr>
        <w:t>fator de potência</w:t>
      </w:r>
      <w:r w:rsidRPr="00C44B09">
        <w:rPr>
          <w:rFonts w:ascii="Arial" w:hAnsi="Arial" w:cs="Arial"/>
          <w:color w:val="222222"/>
          <w:sz w:val="24"/>
          <w:szCs w:val="24"/>
          <w:shd w:val="clear" w:color="auto" w:fill="FFFFFF"/>
        </w:rPr>
        <w:t xml:space="preserve"> baixo indica baixa eficiência energética. Todo projeto é criado na base de </w:t>
      </w:r>
      <w:r w:rsidR="007931FB" w:rsidRPr="00C44B09">
        <w:rPr>
          <w:rFonts w:ascii="Arial" w:hAnsi="Arial" w:cs="Arial"/>
          <w:color w:val="222222"/>
          <w:sz w:val="24"/>
          <w:szCs w:val="24"/>
          <w:shd w:val="clear" w:color="auto" w:fill="FFFFFF"/>
        </w:rPr>
        <w:t>e</w:t>
      </w:r>
      <w:r w:rsidRPr="00C44B09">
        <w:rPr>
          <w:rFonts w:ascii="Arial" w:hAnsi="Arial" w:cs="Arial"/>
          <w:color w:val="222222"/>
          <w:sz w:val="24"/>
          <w:szCs w:val="24"/>
          <w:shd w:val="clear" w:color="auto" w:fill="FFFFFF"/>
        </w:rPr>
        <w:t xml:space="preserve">ficiência </w:t>
      </w:r>
      <w:r w:rsidR="007931FB" w:rsidRPr="00C44B09">
        <w:rPr>
          <w:rFonts w:ascii="Arial" w:hAnsi="Arial" w:cs="Arial"/>
          <w:color w:val="222222"/>
          <w:sz w:val="24"/>
          <w:szCs w:val="24"/>
          <w:shd w:val="clear" w:color="auto" w:fill="FFFFFF"/>
        </w:rPr>
        <w:t>e</w:t>
      </w:r>
      <w:r w:rsidRPr="00C44B09">
        <w:rPr>
          <w:rFonts w:ascii="Arial" w:hAnsi="Arial" w:cs="Arial"/>
          <w:color w:val="222222"/>
          <w:sz w:val="24"/>
          <w:szCs w:val="24"/>
          <w:shd w:val="clear" w:color="auto" w:fill="FFFFFF"/>
        </w:rPr>
        <w:t>nergética</w:t>
      </w:r>
      <w:r w:rsidR="007931FB" w:rsidRPr="00C44B09">
        <w:rPr>
          <w:rFonts w:ascii="Arial" w:hAnsi="Arial" w:cs="Arial"/>
          <w:color w:val="222222"/>
          <w:sz w:val="24"/>
          <w:szCs w:val="24"/>
          <w:shd w:val="clear" w:color="auto" w:fill="FFFFFF"/>
        </w:rPr>
        <w:t xml:space="preserve"> e luminosa</w:t>
      </w:r>
      <w:r w:rsidRPr="00C44B09">
        <w:rPr>
          <w:rFonts w:ascii="Arial" w:hAnsi="Arial" w:cs="Arial"/>
          <w:color w:val="222222"/>
          <w:sz w:val="24"/>
          <w:szCs w:val="24"/>
          <w:shd w:val="clear" w:color="auto" w:fill="FFFFFF"/>
        </w:rPr>
        <w:t>, sendo desta forma e após uma pesquisa ao site do INMETRO</w:t>
      </w:r>
      <w:r w:rsidR="00F14880" w:rsidRPr="00C44B09">
        <w:rPr>
          <w:rFonts w:ascii="Arial" w:hAnsi="Arial" w:cs="Arial"/>
          <w:color w:val="222222"/>
          <w:sz w:val="24"/>
          <w:szCs w:val="24"/>
          <w:shd w:val="clear" w:color="auto" w:fill="FFFFFF"/>
        </w:rPr>
        <w:t xml:space="preserve"> a diversas marcas</w:t>
      </w:r>
      <w:r w:rsidRPr="00C44B09">
        <w:rPr>
          <w:rFonts w:ascii="Arial" w:hAnsi="Arial" w:cs="Arial"/>
          <w:color w:val="222222"/>
          <w:sz w:val="24"/>
          <w:szCs w:val="24"/>
          <w:shd w:val="clear" w:color="auto" w:fill="FFFFFF"/>
        </w:rPr>
        <w:t xml:space="preserve">, para que não houvesse </w:t>
      </w:r>
      <w:r w:rsidR="00A460A0" w:rsidRPr="00C44B09">
        <w:rPr>
          <w:rFonts w:ascii="Arial" w:hAnsi="Arial" w:cs="Arial"/>
          <w:color w:val="222222"/>
          <w:sz w:val="24"/>
          <w:szCs w:val="24"/>
          <w:shd w:val="clear" w:color="auto" w:fill="FFFFFF"/>
        </w:rPr>
        <w:t>restrições a</w:t>
      </w:r>
      <w:r w:rsidRPr="00C44B09">
        <w:rPr>
          <w:rFonts w:ascii="Arial" w:hAnsi="Arial" w:cs="Arial"/>
          <w:color w:val="222222"/>
          <w:sz w:val="24"/>
          <w:szCs w:val="24"/>
          <w:shd w:val="clear" w:color="auto" w:fill="FFFFFF"/>
        </w:rPr>
        <w:t xml:space="preserve"> concorrência, </w:t>
      </w:r>
      <w:r w:rsidR="009E5A09" w:rsidRPr="00C44B09">
        <w:rPr>
          <w:rFonts w:ascii="Arial" w:hAnsi="Arial" w:cs="Arial"/>
          <w:color w:val="222222"/>
          <w:sz w:val="24"/>
          <w:szCs w:val="24"/>
          <w:shd w:val="clear" w:color="auto" w:fill="FFFFFF"/>
        </w:rPr>
        <w:t>ficou estabelecido</w:t>
      </w:r>
      <w:r w:rsidR="00F14880" w:rsidRPr="00C44B09">
        <w:rPr>
          <w:rFonts w:ascii="Arial" w:hAnsi="Arial" w:cs="Arial"/>
          <w:color w:val="222222"/>
          <w:sz w:val="24"/>
          <w:szCs w:val="24"/>
          <w:shd w:val="clear" w:color="auto" w:fill="FFFFFF"/>
        </w:rPr>
        <w:t xml:space="preserve"> que o </w:t>
      </w:r>
      <w:r w:rsidR="007931FB" w:rsidRPr="00C44B09">
        <w:rPr>
          <w:rFonts w:ascii="Arial" w:hAnsi="Arial" w:cs="Arial"/>
          <w:color w:val="222222"/>
          <w:sz w:val="24"/>
          <w:szCs w:val="24"/>
          <w:shd w:val="clear" w:color="auto" w:fill="FFFFFF"/>
        </w:rPr>
        <w:t>f</w:t>
      </w:r>
      <w:r w:rsidR="00F14880" w:rsidRPr="00C44B09">
        <w:rPr>
          <w:rFonts w:ascii="Arial" w:hAnsi="Arial" w:cs="Arial"/>
          <w:color w:val="222222"/>
          <w:sz w:val="24"/>
          <w:szCs w:val="24"/>
          <w:shd w:val="clear" w:color="auto" w:fill="FFFFFF"/>
        </w:rPr>
        <w:t>ator de potência mínimo do projeto</w:t>
      </w:r>
      <w:r w:rsidR="00704740" w:rsidRPr="00C44B09">
        <w:rPr>
          <w:rFonts w:ascii="Arial" w:hAnsi="Arial" w:cs="Arial"/>
          <w:color w:val="222222"/>
          <w:sz w:val="24"/>
          <w:szCs w:val="24"/>
          <w:shd w:val="clear" w:color="auto" w:fill="FFFFFF"/>
        </w:rPr>
        <w:t>, comprovado por certificado em</w:t>
      </w:r>
      <w:r w:rsidR="00F14880" w:rsidRPr="00C44B09">
        <w:rPr>
          <w:rFonts w:ascii="Arial" w:hAnsi="Arial" w:cs="Arial"/>
          <w:color w:val="222222"/>
          <w:sz w:val="24"/>
          <w:szCs w:val="24"/>
          <w:shd w:val="clear" w:color="auto" w:fill="FFFFFF"/>
        </w:rPr>
        <w:t xml:space="preserve"> de 0,9</w:t>
      </w:r>
      <w:r w:rsidR="00B973CE" w:rsidRPr="00C44B09">
        <w:rPr>
          <w:rFonts w:ascii="Arial" w:hAnsi="Arial" w:cs="Arial"/>
          <w:color w:val="222222"/>
          <w:sz w:val="24"/>
          <w:szCs w:val="24"/>
          <w:shd w:val="clear" w:color="auto" w:fill="FFFFFF"/>
        </w:rPr>
        <w:t>7</w:t>
      </w:r>
      <w:r w:rsidR="007931FB" w:rsidRPr="00C44B09">
        <w:rPr>
          <w:rFonts w:ascii="Arial" w:hAnsi="Arial" w:cs="Arial"/>
          <w:color w:val="222222"/>
          <w:sz w:val="24"/>
          <w:szCs w:val="24"/>
          <w:shd w:val="clear" w:color="auto" w:fill="FFFFFF"/>
        </w:rPr>
        <w:t>.</w:t>
      </w:r>
    </w:p>
    <w:p w14:paraId="50FCAE1C" w14:textId="65CD7D30" w:rsidR="007931FB" w:rsidRPr="00C44B09" w:rsidRDefault="00CE0118" w:rsidP="007931FB">
      <w:pPr>
        <w:jc w:val="both"/>
        <w:rPr>
          <w:rFonts w:ascii="Arial" w:hAnsi="Arial" w:cs="Arial"/>
          <w:sz w:val="24"/>
          <w:szCs w:val="24"/>
        </w:rPr>
      </w:pPr>
      <w:r w:rsidRPr="00C44B09">
        <w:rPr>
          <w:rFonts w:ascii="Arial" w:hAnsi="Arial" w:cs="Arial"/>
          <w:sz w:val="24"/>
          <w:szCs w:val="24"/>
        </w:rPr>
        <w:t>Quando</w:t>
      </w:r>
      <w:r w:rsidR="004602E6" w:rsidRPr="00C44B09">
        <w:rPr>
          <w:rFonts w:ascii="Arial" w:hAnsi="Arial" w:cs="Arial"/>
          <w:sz w:val="24"/>
          <w:szCs w:val="24"/>
        </w:rPr>
        <w:t xml:space="preserve"> realizada </w:t>
      </w:r>
      <w:r w:rsidRPr="00C44B09">
        <w:rPr>
          <w:rFonts w:ascii="Arial" w:hAnsi="Arial" w:cs="Arial"/>
          <w:sz w:val="24"/>
          <w:szCs w:val="24"/>
        </w:rPr>
        <w:t xml:space="preserve">pesquisa, </w:t>
      </w:r>
      <w:r w:rsidR="004602E6" w:rsidRPr="00C44B09">
        <w:rPr>
          <w:rFonts w:ascii="Arial" w:hAnsi="Arial" w:cs="Arial"/>
          <w:sz w:val="24"/>
          <w:szCs w:val="24"/>
        </w:rPr>
        <w:t>verificou-se a existência</w:t>
      </w:r>
      <w:r w:rsidR="007931FB" w:rsidRPr="00C44B09">
        <w:rPr>
          <w:rFonts w:ascii="Arial" w:hAnsi="Arial" w:cs="Arial"/>
          <w:sz w:val="24"/>
          <w:szCs w:val="24"/>
        </w:rPr>
        <w:t xml:space="preserve"> de luminárias </w:t>
      </w:r>
      <w:r w:rsidRPr="00C44B09">
        <w:rPr>
          <w:rFonts w:ascii="Arial" w:hAnsi="Arial" w:cs="Arial"/>
          <w:sz w:val="24"/>
          <w:szCs w:val="24"/>
        </w:rPr>
        <w:t xml:space="preserve">em </w:t>
      </w:r>
      <w:r w:rsidR="007931FB" w:rsidRPr="00C44B09">
        <w:rPr>
          <w:rFonts w:ascii="Arial" w:hAnsi="Arial" w:cs="Arial"/>
          <w:sz w:val="24"/>
          <w:szCs w:val="24"/>
        </w:rPr>
        <w:t>LED de iluminação pública aprovadas pelo INMETRO</w:t>
      </w:r>
      <w:r w:rsidRPr="00C44B09">
        <w:rPr>
          <w:rFonts w:ascii="Arial" w:hAnsi="Arial" w:cs="Arial"/>
          <w:sz w:val="24"/>
          <w:szCs w:val="24"/>
        </w:rPr>
        <w:t>, onde verificamos a existência de</w:t>
      </w:r>
      <w:r w:rsidR="007931FB" w:rsidRPr="00C44B09">
        <w:rPr>
          <w:rFonts w:ascii="Arial" w:hAnsi="Arial" w:cs="Arial"/>
          <w:sz w:val="24"/>
          <w:szCs w:val="24"/>
        </w:rPr>
        <w:t xml:space="preserve"> 524 modelos de luminárias de 29 fabricantes diferentes que adotam fator de potência maior ou igual a 0,97</w:t>
      </w:r>
    </w:p>
    <w:p w14:paraId="3F985F60" w14:textId="77777777" w:rsidR="00935DD9" w:rsidRPr="00C44B09" w:rsidRDefault="00CE4C79" w:rsidP="00935DD9">
      <w:pPr>
        <w:jc w:val="both"/>
        <w:rPr>
          <w:rStyle w:val="fontstyle01"/>
          <w:rFonts w:ascii="Arial" w:eastAsia="SimSun" w:hAnsi="Arial" w:cs="Arial"/>
          <w:i/>
          <w:sz w:val="24"/>
          <w:szCs w:val="24"/>
        </w:rPr>
      </w:pPr>
      <w:hyperlink r:id="rId58" w:history="1">
        <w:r w:rsidR="00935DD9" w:rsidRPr="00C44B09">
          <w:rPr>
            <w:rStyle w:val="Hyperlink"/>
            <w:rFonts w:ascii="Arial" w:hAnsi="Arial" w:cs="Arial"/>
            <w:sz w:val="24"/>
            <w:szCs w:val="24"/>
          </w:rPr>
          <w:t>http://registro.inmetro.gov.br/consulta/Default.aspx?pag=1&amp;acao=pesquisar&amp;NumeroRegistro=&amp;ctl00%24MainContent%24ControlPesquisa1%24Situacao=&amp;dataConcessaoInicio=&amp;dataConcessaoFinal=&amp;ObjetoProduto=Lumin%C3%A1rias+para+Ilumina%C3%A7%C3%A3o+P%C3%BAblica+Vi%C3%A1ria&amp;MarcaMo</w:t>
        </w:r>
        <w:r w:rsidR="00935DD9" w:rsidRPr="00C44B09">
          <w:rPr>
            <w:rStyle w:val="Hyperlink"/>
            <w:rFonts w:ascii="Arial" w:hAnsi="Arial" w:cs="Arial"/>
            <w:sz w:val="24"/>
            <w:szCs w:val="24"/>
          </w:rPr>
          <w:lastRenderedPageBreak/>
          <w:t>delo=&amp;CodigodeBarra=&amp;Atestado=&amp;Fornecedor=&amp;CNPJ=&amp;ctl00%24MainContent%24ControlPesquisa1%24SelectUF=&amp;Municipio</w:t>
        </w:r>
      </w:hyperlink>
      <w:r w:rsidR="00935DD9" w:rsidRPr="00C44B09">
        <w:rPr>
          <w:rFonts w:ascii="Arial" w:hAnsi="Arial" w:cs="Arial"/>
          <w:sz w:val="24"/>
          <w:szCs w:val="24"/>
        </w:rPr>
        <w:t xml:space="preserve">= </w:t>
      </w:r>
    </w:p>
    <w:p w14:paraId="1506C3F6" w14:textId="0291CE20" w:rsidR="00935DD9" w:rsidRPr="00C44B09" w:rsidRDefault="00935DD9" w:rsidP="00C469D9">
      <w:pPr>
        <w:jc w:val="both"/>
        <w:rPr>
          <w:rFonts w:ascii="Arial" w:hAnsi="Arial" w:cs="Arial"/>
          <w:color w:val="222222"/>
          <w:sz w:val="24"/>
          <w:szCs w:val="24"/>
          <w:shd w:val="clear" w:color="auto" w:fill="FFFFFF"/>
        </w:rPr>
      </w:pPr>
      <w:r w:rsidRPr="00C44B09">
        <w:rPr>
          <w:rFonts w:ascii="Arial" w:hAnsi="Arial" w:cs="Arial"/>
          <w:color w:val="222222"/>
          <w:sz w:val="24"/>
          <w:szCs w:val="24"/>
          <w:shd w:val="clear" w:color="auto" w:fill="FFFFFF"/>
        </w:rPr>
        <w:t>Fonte da pesquisa</w:t>
      </w:r>
    </w:p>
    <w:p w14:paraId="63FB545E" w14:textId="4742FABE" w:rsidR="000151EB" w:rsidRPr="00C44B09" w:rsidRDefault="000151EB" w:rsidP="008235B3">
      <w:pPr>
        <w:pStyle w:val="Ttulo2"/>
        <w:numPr>
          <w:ilvl w:val="1"/>
          <w:numId w:val="20"/>
        </w:numPr>
        <w:spacing w:before="240" w:beforeAutospacing="0" w:after="120" w:afterAutospacing="0"/>
        <w:ind w:left="709"/>
        <w:rPr>
          <w:rFonts w:cs="Arial"/>
          <w:sz w:val="24"/>
          <w:szCs w:val="24"/>
        </w:rPr>
      </w:pPr>
      <w:bookmarkStart w:id="41" w:name="_Toc149225898"/>
      <w:r w:rsidRPr="00C44B09">
        <w:rPr>
          <w:rFonts w:cs="Arial"/>
          <w:sz w:val="24"/>
          <w:szCs w:val="24"/>
        </w:rPr>
        <w:t>DA VIDA ÚTIL DE 70.000H</w:t>
      </w:r>
      <w:bookmarkEnd w:id="41"/>
    </w:p>
    <w:p w14:paraId="61788170"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As Luminárias em LED atuais são muito melhores que as produzidas a partir de fevereiro de 2017, quando do início da certificação do INMETRO, que previa que a partir daquele mês e ano só podiam ser produzidos ou importados produtos que fossem ensaiados e aprovados conforme os requisitos técnicos estabelecidos na Portaria.</w:t>
      </w:r>
    </w:p>
    <w:p w14:paraId="54F8FCDC" w14:textId="577C954D" w:rsidR="000151EB" w:rsidRPr="00C44B09" w:rsidRDefault="000151EB" w:rsidP="000151EB">
      <w:pPr>
        <w:jc w:val="both"/>
        <w:rPr>
          <w:rFonts w:ascii="Arial" w:hAnsi="Arial" w:cs="Arial"/>
          <w:sz w:val="24"/>
          <w:szCs w:val="24"/>
        </w:rPr>
      </w:pPr>
      <w:r w:rsidRPr="00C44B09">
        <w:rPr>
          <w:rFonts w:ascii="Arial" w:hAnsi="Arial" w:cs="Arial"/>
          <w:sz w:val="24"/>
          <w:szCs w:val="24"/>
        </w:rPr>
        <w:t>A tecnologia do LED evoluiu muito em dois anos, continua em evolução e vai evoluir ainda mais com os estudos e o desenvolvimento de novos materiais, que têm eficácia e produtividade cada vez maiores.</w:t>
      </w:r>
    </w:p>
    <w:p w14:paraId="6F096E51"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Novos produtos LED disponíveis no mercado produzem mais luz com menos potência, portanto são mais eficientes e por isso muitas vezes passam por novos processos e usam novas matérias-primas (chip de LED).</w:t>
      </w:r>
    </w:p>
    <w:p w14:paraId="57DA16EE"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Fabricantes de várias marcas têm conseguido atingir maiores valores de lúmens por watt, ou seja, o fluxo luminoso cada vez maior para cada watt de potência consumido.</w:t>
      </w:r>
    </w:p>
    <w:p w14:paraId="64AE8BE4"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Em 2016, os valores nas luminárias estavam em 60 lúmens/watt e 2018 estavam em 90 lúmens/watt e até um pouco mais, e atualmente chegando a valores superiores a 170 lúmens/watt.</w:t>
      </w:r>
    </w:p>
    <w:p w14:paraId="17398518"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Considerando que houve uma evolução em torno de 183% nos últimos 5 anos, e que a tecnologia encurta cada vez mais esses espaços de evolução, onde uma luminária de 100w iluminava 6.000L em 2016, e que em 2021 uma luminária de 36w tem o mesmo efeito luminoso, onde vamos parar?</w:t>
      </w:r>
    </w:p>
    <w:p w14:paraId="14B3A657"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Quando imaginamos apenas a manutenção do fluxo luminoso, esquecemos de ver que a luminária em led é um conjunto formado por diversas peças, onde cada uma ao apresentar defeito, deixa a luminária apagada, pensando dessa maneira, qual a vida útil devemos utilizar para as luminárias?</w:t>
      </w:r>
    </w:p>
    <w:p w14:paraId="4B01090F"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Considerando que a questão da vantajosidade da administração pública, passa sempre pela questão aquisição e benefícios a longo prazo, olhando o exemplo acima da luminária de 100w a 6.000L e de 36w aos mesmos 6.000L em um espaço de 5 anos, já justificaria uma nova troca por questões de eficiência energética, imaginemos ela por 10, 15 ou 20 anos?</w:t>
      </w:r>
    </w:p>
    <w:p w14:paraId="01C559CC" w14:textId="77777777" w:rsidR="000151EB" w:rsidRPr="00C44B09" w:rsidRDefault="000151EB" w:rsidP="000151EB">
      <w:pPr>
        <w:jc w:val="both"/>
        <w:rPr>
          <w:rFonts w:ascii="Arial" w:hAnsi="Arial" w:cs="Arial"/>
          <w:sz w:val="24"/>
          <w:szCs w:val="24"/>
        </w:rPr>
      </w:pPr>
      <w:r w:rsidRPr="00C44B09">
        <w:rPr>
          <w:rFonts w:ascii="Arial" w:hAnsi="Arial" w:cs="Arial"/>
          <w:sz w:val="24"/>
          <w:szCs w:val="24"/>
        </w:rPr>
        <w:t>Por questões de curiosidade, as vidas úteis dos materiais colocam da seguinte maneira:</w:t>
      </w:r>
    </w:p>
    <w:p w14:paraId="0B129651" w14:textId="77777777" w:rsidR="000151EB" w:rsidRPr="00C44B09" w:rsidRDefault="000151EB" w:rsidP="00DC39EA">
      <w:pPr>
        <w:pStyle w:val="PargrafodaLista"/>
        <w:numPr>
          <w:ilvl w:val="0"/>
          <w:numId w:val="35"/>
        </w:numPr>
        <w:jc w:val="both"/>
        <w:rPr>
          <w:rFonts w:ascii="Arial" w:hAnsi="Arial" w:cs="Arial"/>
          <w:sz w:val="24"/>
          <w:szCs w:val="24"/>
        </w:rPr>
      </w:pPr>
      <w:r w:rsidRPr="00C44B09">
        <w:rPr>
          <w:rFonts w:ascii="Arial" w:hAnsi="Arial" w:cs="Arial"/>
          <w:sz w:val="24"/>
          <w:szCs w:val="24"/>
        </w:rPr>
        <w:lastRenderedPageBreak/>
        <w:t>as luminárias com 50.000hs não devem perder mais de 30% do seu fluxo no período equivalente a 11 anos e 5 meses;</w:t>
      </w:r>
    </w:p>
    <w:p w14:paraId="631D6589" w14:textId="77777777" w:rsidR="000151EB" w:rsidRPr="00C44B09" w:rsidRDefault="000151EB" w:rsidP="00DC39EA">
      <w:pPr>
        <w:pStyle w:val="PargrafodaLista"/>
        <w:numPr>
          <w:ilvl w:val="0"/>
          <w:numId w:val="35"/>
        </w:numPr>
        <w:jc w:val="both"/>
        <w:rPr>
          <w:rFonts w:ascii="Arial" w:hAnsi="Arial" w:cs="Arial"/>
          <w:sz w:val="24"/>
          <w:szCs w:val="24"/>
        </w:rPr>
      </w:pPr>
      <w:r w:rsidRPr="00C44B09">
        <w:rPr>
          <w:rFonts w:ascii="Arial" w:hAnsi="Arial" w:cs="Arial"/>
          <w:sz w:val="24"/>
          <w:szCs w:val="24"/>
        </w:rPr>
        <w:t>as luminárias com 70.000hs não devem perder mais que 30% do seu fluxo no período equivalente a 15 anos e 11 meses;</w:t>
      </w:r>
    </w:p>
    <w:p w14:paraId="79CD2DDF" w14:textId="77777777" w:rsidR="000151EB" w:rsidRPr="00C44B09" w:rsidRDefault="000151EB" w:rsidP="00DC39EA">
      <w:pPr>
        <w:pStyle w:val="PargrafodaLista"/>
        <w:numPr>
          <w:ilvl w:val="0"/>
          <w:numId w:val="35"/>
        </w:numPr>
        <w:jc w:val="both"/>
        <w:rPr>
          <w:rFonts w:ascii="Arial" w:hAnsi="Arial" w:cs="Arial"/>
          <w:sz w:val="24"/>
          <w:szCs w:val="24"/>
        </w:rPr>
      </w:pPr>
      <w:r w:rsidRPr="00C44B09">
        <w:rPr>
          <w:rFonts w:ascii="Arial" w:hAnsi="Arial" w:cs="Arial"/>
          <w:sz w:val="24"/>
          <w:szCs w:val="24"/>
        </w:rPr>
        <w:t>as luminárias com 100.000hs não devem perder mais que 30% do seu fluxo no período equivalente a 22 anos.</w:t>
      </w:r>
    </w:p>
    <w:p w14:paraId="4F65B142" w14:textId="4C40BA19" w:rsidR="000151EB" w:rsidRPr="00C44B09" w:rsidRDefault="000151EB" w:rsidP="000151EB">
      <w:pPr>
        <w:jc w:val="both"/>
        <w:rPr>
          <w:rFonts w:ascii="Arial" w:hAnsi="Arial" w:cs="Arial"/>
          <w:sz w:val="24"/>
          <w:szCs w:val="24"/>
        </w:rPr>
      </w:pPr>
      <w:r w:rsidRPr="00C44B09">
        <w:rPr>
          <w:rFonts w:ascii="Arial" w:hAnsi="Arial" w:cs="Arial"/>
          <w:sz w:val="24"/>
          <w:szCs w:val="24"/>
        </w:rPr>
        <w:t>Considerando os argumentos evolutivos das luminárias em LED, utilizamos 15 anos como tempo mais que suficiente para realizar uma nova troca de luminária</w:t>
      </w:r>
      <w:r w:rsidR="00DC39EA" w:rsidRPr="00C44B09">
        <w:rPr>
          <w:rFonts w:ascii="Arial" w:hAnsi="Arial" w:cs="Arial"/>
          <w:sz w:val="24"/>
          <w:szCs w:val="24"/>
        </w:rPr>
        <w:t xml:space="preserve"> em todo parque de IP</w:t>
      </w:r>
      <w:r w:rsidRPr="00C44B09">
        <w:rPr>
          <w:rFonts w:ascii="Arial" w:hAnsi="Arial" w:cs="Arial"/>
          <w:sz w:val="24"/>
          <w:szCs w:val="24"/>
        </w:rPr>
        <w:t>.</w:t>
      </w:r>
    </w:p>
    <w:p w14:paraId="5B561175" w14:textId="77777777" w:rsidR="00DC39EA" w:rsidRPr="00C44B09" w:rsidRDefault="00DC39EA" w:rsidP="00DC39EA">
      <w:pPr>
        <w:pStyle w:val="Ttulo2"/>
        <w:numPr>
          <w:ilvl w:val="1"/>
          <w:numId w:val="20"/>
        </w:numPr>
        <w:spacing w:before="120" w:beforeAutospacing="0" w:after="120" w:afterAutospacing="0"/>
        <w:ind w:left="709"/>
        <w:rPr>
          <w:rFonts w:cs="Arial"/>
          <w:sz w:val="24"/>
          <w:szCs w:val="24"/>
        </w:rPr>
      </w:pPr>
      <w:bookmarkStart w:id="42" w:name="_Toc149225899"/>
      <w:r w:rsidRPr="00C44B09">
        <w:rPr>
          <w:rFonts w:cs="Arial"/>
          <w:sz w:val="24"/>
          <w:szCs w:val="24"/>
        </w:rPr>
        <w:t>SOLICITAÇÃO DE LUMINÁRIA COM VIDRO TEMPERADO</w:t>
      </w:r>
      <w:bookmarkEnd w:id="42"/>
    </w:p>
    <w:p w14:paraId="53A88FB8" w14:textId="4076B10A" w:rsidR="00DC39EA" w:rsidRPr="00C44B09" w:rsidRDefault="00DC39EA" w:rsidP="00DC39EA">
      <w:pPr>
        <w:jc w:val="both"/>
        <w:rPr>
          <w:rFonts w:ascii="Arial" w:hAnsi="Arial" w:cs="Arial"/>
          <w:sz w:val="24"/>
          <w:szCs w:val="24"/>
        </w:rPr>
      </w:pPr>
      <w:r w:rsidRPr="00C44B09">
        <w:rPr>
          <w:rFonts w:ascii="Arial" w:hAnsi="Arial" w:cs="Arial"/>
          <w:sz w:val="24"/>
          <w:szCs w:val="24"/>
        </w:rPr>
        <w:t xml:space="preserve">Luminárias dotadas de vidro plano (lente terciária) protegem as lentes em </w:t>
      </w:r>
      <w:r w:rsidR="00071069" w:rsidRPr="00C44B09">
        <w:rPr>
          <w:rFonts w:ascii="Arial" w:hAnsi="Arial" w:cs="Arial"/>
          <w:sz w:val="24"/>
          <w:szCs w:val="24"/>
        </w:rPr>
        <w:t>policarbonato (</w:t>
      </w:r>
      <w:r w:rsidRPr="00C44B09">
        <w:rPr>
          <w:rFonts w:ascii="Arial" w:hAnsi="Arial" w:cs="Arial"/>
          <w:sz w:val="24"/>
          <w:szCs w:val="24"/>
        </w:rPr>
        <w:t xml:space="preserve">lentes secundarias) de amarelamento precoce em função da menor exposição das mesmas dos raios </w:t>
      </w:r>
      <w:r w:rsidR="00071069" w:rsidRPr="00C44B09">
        <w:rPr>
          <w:rFonts w:ascii="Arial" w:hAnsi="Arial" w:cs="Arial"/>
          <w:sz w:val="24"/>
          <w:szCs w:val="24"/>
        </w:rPr>
        <w:t>ultravioleta</w:t>
      </w:r>
      <w:r w:rsidRPr="00C44B09">
        <w:rPr>
          <w:rFonts w:ascii="Arial" w:hAnsi="Arial" w:cs="Arial"/>
          <w:sz w:val="24"/>
          <w:szCs w:val="24"/>
        </w:rPr>
        <w:t xml:space="preserve"> refletidos no piso, pela luz do sol, nas luminárias.</w:t>
      </w:r>
    </w:p>
    <w:p w14:paraId="793028E7" w14:textId="77777777" w:rsidR="00DC39EA" w:rsidRPr="00C44B09" w:rsidRDefault="00DC39EA" w:rsidP="00DC39EA">
      <w:pPr>
        <w:jc w:val="both"/>
        <w:rPr>
          <w:rFonts w:ascii="Arial" w:hAnsi="Arial" w:cs="Arial"/>
          <w:sz w:val="24"/>
          <w:szCs w:val="24"/>
        </w:rPr>
      </w:pPr>
      <w:r w:rsidRPr="00C44B09">
        <w:rPr>
          <w:rFonts w:ascii="Arial" w:hAnsi="Arial" w:cs="Arial"/>
          <w:sz w:val="24"/>
          <w:szCs w:val="24"/>
        </w:rPr>
        <w:t>As Luminárias dotadas de vidro, contém uma camada a mais de proteção contra vandalismo.</w:t>
      </w:r>
    </w:p>
    <w:p w14:paraId="01F52EAA" w14:textId="038761F9" w:rsidR="00DC39EA" w:rsidRPr="00C44B09" w:rsidRDefault="00DC39EA" w:rsidP="00DC39EA">
      <w:pPr>
        <w:jc w:val="both"/>
        <w:rPr>
          <w:rFonts w:ascii="Arial" w:hAnsi="Arial" w:cs="Arial"/>
          <w:sz w:val="24"/>
          <w:szCs w:val="24"/>
        </w:rPr>
      </w:pPr>
      <w:r w:rsidRPr="00C44B09">
        <w:rPr>
          <w:rFonts w:ascii="Arial" w:hAnsi="Arial" w:cs="Arial"/>
          <w:sz w:val="24"/>
          <w:szCs w:val="24"/>
        </w:rPr>
        <w:t xml:space="preserve">O </w:t>
      </w:r>
      <w:r w:rsidR="00071069" w:rsidRPr="00C44B09">
        <w:rPr>
          <w:rFonts w:ascii="Arial" w:hAnsi="Arial" w:cs="Arial"/>
          <w:sz w:val="24"/>
          <w:szCs w:val="24"/>
        </w:rPr>
        <w:t>v</w:t>
      </w:r>
      <w:r w:rsidRPr="00C44B09">
        <w:rPr>
          <w:rFonts w:ascii="Arial" w:hAnsi="Arial" w:cs="Arial"/>
          <w:sz w:val="24"/>
          <w:szCs w:val="24"/>
        </w:rPr>
        <w:t xml:space="preserve">idro plano permite fácil e eficiente manutenção (Limpeza) ao longo de sua vida útil, por mais que estejamos exigindo IP (Índice de Proteção) IP 66 total para as Luminárias, ainda sim evitaremos que </w:t>
      </w:r>
      <w:r w:rsidR="00071069" w:rsidRPr="00C44B09">
        <w:rPr>
          <w:rFonts w:ascii="Arial" w:hAnsi="Arial" w:cs="Arial"/>
          <w:sz w:val="24"/>
          <w:szCs w:val="24"/>
        </w:rPr>
        <w:t>poeira,</w:t>
      </w:r>
      <w:r w:rsidRPr="00C44B09">
        <w:rPr>
          <w:rFonts w:ascii="Arial" w:hAnsi="Arial" w:cs="Arial"/>
          <w:sz w:val="24"/>
          <w:szCs w:val="24"/>
        </w:rPr>
        <w:t xml:space="preserve"> poluição e sujeiras em geral que são comuns em suspenção nas cidades se agreguem nas lentes em policarbonato, assim como ocorre nas Luminárias Integradas HID dotadas</w:t>
      </w:r>
      <w:r w:rsidR="00071069" w:rsidRPr="00C44B09">
        <w:rPr>
          <w:rFonts w:ascii="Arial" w:hAnsi="Arial" w:cs="Arial"/>
          <w:sz w:val="24"/>
          <w:szCs w:val="24"/>
        </w:rPr>
        <w:t xml:space="preserve"> destas</w:t>
      </w:r>
      <w:r w:rsidRPr="00C44B09">
        <w:rPr>
          <w:rFonts w:ascii="Arial" w:hAnsi="Arial" w:cs="Arial"/>
          <w:sz w:val="24"/>
          <w:szCs w:val="24"/>
        </w:rPr>
        <w:t xml:space="preserve"> lentes.</w:t>
      </w:r>
    </w:p>
    <w:p w14:paraId="390BD817" w14:textId="56369A46" w:rsidR="00DC39EA" w:rsidRPr="00C44B09" w:rsidRDefault="00DC39EA" w:rsidP="00DC39EA">
      <w:pPr>
        <w:jc w:val="both"/>
        <w:rPr>
          <w:rFonts w:ascii="Arial" w:hAnsi="Arial" w:cs="Arial"/>
          <w:sz w:val="24"/>
          <w:szCs w:val="24"/>
        </w:rPr>
      </w:pPr>
      <w:r w:rsidRPr="00C44B09">
        <w:rPr>
          <w:rFonts w:ascii="Arial" w:hAnsi="Arial" w:cs="Arial"/>
          <w:sz w:val="24"/>
          <w:szCs w:val="24"/>
        </w:rPr>
        <w:t xml:space="preserve">Caso ocorra o amarelamento das lentes em policarbonato precoce, entendemos que restará ao município um prejuízo grande de perda de transparência do mesmo com prejuízos inequívocos ao fluxo luminoso emitidos pelas luminárias, onde </w:t>
      </w:r>
      <w:r w:rsidR="00071069" w:rsidRPr="00C44B09">
        <w:rPr>
          <w:rFonts w:ascii="Arial" w:hAnsi="Arial" w:cs="Arial"/>
          <w:sz w:val="24"/>
          <w:szCs w:val="24"/>
        </w:rPr>
        <w:t>as lentes em vidro não possuem</w:t>
      </w:r>
      <w:r w:rsidRPr="00C44B09">
        <w:rPr>
          <w:rFonts w:ascii="Arial" w:hAnsi="Arial" w:cs="Arial"/>
          <w:sz w:val="24"/>
          <w:szCs w:val="24"/>
        </w:rPr>
        <w:t xml:space="preserve"> o mesmo coeficiente de dilatação do policarbonato, o que não ocasiona às mesmas a agregação de partículas o que ocorre nas de policarbonato quando submetidas a calor e frio. (dilatação e contração).</w:t>
      </w:r>
    </w:p>
    <w:p w14:paraId="4AFAEB5B" w14:textId="77777777" w:rsidR="00DC39EA" w:rsidRPr="00C44B09" w:rsidRDefault="00DC39EA" w:rsidP="00DC39EA">
      <w:pPr>
        <w:jc w:val="both"/>
        <w:rPr>
          <w:rFonts w:ascii="Arial" w:hAnsi="Arial" w:cs="Arial"/>
          <w:sz w:val="24"/>
          <w:szCs w:val="24"/>
        </w:rPr>
      </w:pPr>
      <w:r w:rsidRPr="00C44B09">
        <w:rPr>
          <w:rFonts w:ascii="Arial" w:hAnsi="Arial" w:cs="Arial"/>
          <w:sz w:val="24"/>
          <w:szCs w:val="24"/>
        </w:rPr>
        <w:t>A perda de eficiência irrisória que ocorre nas Luminárias dotadas de vidro plano, além da lente em policarbonato, não é o mais importante para o município e sim a sua distribuição luminosa nas vias públicas.</w:t>
      </w:r>
    </w:p>
    <w:p w14:paraId="55C5E794" w14:textId="44E85605" w:rsidR="00DC39EA" w:rsidRPr="00C44B09" w:rsidRDefault="00DC39EA" w:rsidP="00DC39EA">
      <w:pPr>
        <w:jc w:val="both"/>
        <w:rPr>
          <w:rFonts w:ascii="Arial" w:hAnsi="Arial" w:cs="Arial"/>
          <w:sz w:val="24"/>
          <w:szCs w:val="24"/>
        </w:rPr>
      </w:pPr>
      <w:r w:rsidRPr="00C44B09">
        <w:rPr>
          <w:rFonts w:ascii="Arial" w:hAnsi="Arial" w:cs="Arial"/>
          <w:sz w:val="24"/>
          <w:szCs w:val="24"/>
        </w:rPr>
        <w:t xml:space="preserve">As Luminárias que não </w:t>
      </w:r>
      <w:r w:rsidR="00071069" w:rsidRPr="00C44B09">
        <w:rPr>
          <w:rFonts w:ascii="Arial" w:hAnsi="Arial" w:cs="Arial"/>
          <w:sz w:val="24"/>
          <w:szCs w:val="24"/>
        </w:rPr>
        <w:t>têm</w:t>
      </w:r>
      <w:r w:rsidRPr="00C44B09">
        <w:rPr>
          <w:rFonts w:ascii="Arial" w:hAnsi="Arial" w:cs="Arial"/>
          <w:sz w:val="24"/>
          <w:szCs w:val="24"/>
        </w:rPr>
        <w:t xml:space="preserve"> vidro refrator, são em geral são luminárias modulares, reconhecidamente de muito inferior distribuição luminosa</w:t>
      </w:r>
      <w:r w:rsidR="00071069" w:rsidRPr="00C44B09">
        <w:rPr>
          <w:rFonts w:ascii="Arial" w:hAnsi="Arial" w:cs="Arial"/>
          <w:sz w:val="24"/>
          <w:szCs w:val="24"/>
        </w:rPr>
        <w:t>.</w:t>
      </w:r>
    </w:p>
    <w:p w14:paraId="0F507DDC" w14:textId="3E05ABFC" w:rsidR="00545A58" w:rsidRPr="00C44B09" w:rsidRDefault="00545A58" w:rsidP="00C469D9">
      <w:pPr>
        <w:jc w:val="both"/>
        <w:rPr>
          <w:rFonts w:ascii="Arial" w:hAnsi="Arial" w:cs="Arial"/>
          <w:sz w:val="24"/>
          <w:szCs w:val="24"/>
        </w:rPr>
        <w:sectPr w:rsidR="00545A58" w:rsidRPr="00C44B09" w:rsidSect="00220F47">
          <w:pgSz w:w="11906" w:h="16838"/>
          <w:pgMar w:top="1417" w:right="1701" w:bottom="1417" w:left="1701" w:header="708" w:footer="708" w:gutter="0"/>
          <w:cols w:space="708"/>
          <w:docGrid w:linePitch="360"/>
        </w:sectPr>
      </w:pPr>
    </w:p>
    <w:p w14:paraId="15C69EDA" w14:textId="6AF365B9" w:rsidR="00143B3F" w:rsidRPr="00C44B09" w:rsidRDefault="00143B3F" w:rsidP="00071069">
      <w:pPr>
        <w:pStyle w:val="Ttulo1"/>
        <w:numPr>
          <w:ilvl w:val="0"/>
          <w:numId w:val="20"/>
        </w:numPr>
        <w:spacing w:before="360" w:after="120"/>
        <w:ind w:left="993"/>
        <w:rPr>
          <w:rFonts w:cs="Arial"/>
          <w:bCs/>
          <w:sz w:val="24"/>
          <w:szCs w:val="24"/>
        </w:rPr>
      </w:pPr>
      <w:bookmarkStart w:id="43" w:name="_Toc149225900"/>
      <w:r w:rsidRPr="00C44B09">
        <w:rPr>
          <w:rFonts w:cs="Arial"/>
          <w:bCs/>
          <w:sz w:val="24"/>
          <w:szCs w:val="24"/>
        </w:rPr>
        <w:lastRenderedPageBreak/>
        <w:t>DA MEMÓRIA DE CÁLCULO DOS TEMPOS DE EXECUÇÃO</w:t>
      </w:r>
      <w:bookmarkEnd w:id="43"/>
    </w:p>
    <w:p w14:paraId="135C8076" w14:textId="12BF70DE" w:rsidR="00475B1F" w:rsidRPr="00C44B09" w:rsidRDefault="00475B1F" w:rsidP="00475B1F">
      <w:pPr>
        <w:pStyle w:val="PargrafodaLista"/>
        <w:tabs>
          <w:tab w:val="left" w:pos="1418"/>
        </w:tabs>
        <w:spacing w:before="120" w:after="120" w:line="240" w:lineRule="auto"/>
        <w:ind w:left="0"/>
        <w:contextualSpacing w:val="0"/>
        <w:jc w:val="both"/>
        <w:rPr>
          <w:rFonts w:ascii="Arial" w:hAnsi="Arial" w:cs="Arial"/>
          <w:sz w:val="24"/>
          <w:szCs w:val="24"/>
        </w:rPr>
      </w:pPr>
      <w:r w:rsidRPr="00C44B09">
        <w:rPr>
          <w:rFonts w:ascii="Arial" w:hAnsi="Arial" w:cs="Arial"/>
          <w:sz w:val="24"/>
          <w:szCs w:val="24"/>
        </w:rPr>
        <w:t xml:space="preserve">Entendendo que os serviços prestados estarão em conformidades com tempos já </w:t>
      </w:r>
      <w:r w:rsidR="004D7BE4" w:rsidRPr="00C44B09">
        <w:rPr>
          <w:rFonts w:ascii="Arial" w:hAnsi="Arial" w:cs="Arial"/>
          <w:sz w:val="24"/>
          <w:szCs w:val="24"/>
        </w:rPr>
        <w:t>pré-estabelecidos</w:t>
      </w:r>
      <w:r w:rsidRPr="00C44B09">
        <w:rPr>
          <w:rFonts w:ascii="Arial" w:hAnsi="Arial" w:cs="Arial"/>
          <w:sz w:val="24"/>
          <w:szCs w:val="24"/>
        </w:rPr>
        <w:t xml:space="preserve"> em tabelas de referência, abaixo listamos </w:t>
      </w:r>
      <w:r w:rsidR="00FA2D96" w:rsidRPr="00C44B09">
        <w:rPr>
          <w:rFonts w:ascii="Arial" w:hAnsi="Arial" w:cs="Arial"/>
          <w:sz w:val="24"/>
          <w:szCs w:val="24"/>
        </w:rPr>
        <w:t>as atividades</w:t>
      </w:r>
      <w:r w:rsidRPr="00C44B09">
        <w:rPr>
          <w:rFonts w:ascii="Arial" w:hAnsi="Arial" w:cs="Arial"/>
          <w:sz w:val="24"/>
          <w:szCs w:val="24"/>
        </w:rPr>
        <w:t xml:space="preserve"> que devem ser seguidas pela empresa vencedora.</w:t>
      </w:r>
    </w:p>
    <w:p w14:paraId="280D665A" w14:textId="2C535123" w:rsidR="00143B3F" w:rsidRPr="00C44B09" w:rsidRDefault="00143B3F" w:rsidP="00475B1F">
      <w:pPr>
        <w:pStyle w:val="PargrafodaLista"/>
        <w:tabs>
          <w:tab w:val="left" w:pos="1418"/>
        </w:tabs>
        <w:spacing w:before="120" w:after="120" w:line="240" w:lineRule="auto"/>
        <w:ind w:left="284"/>
        <w:contextualSpacing w:val="0"/>
        <w:jc w:val="both"/>
        <w:rPr>
          <w:rFonts w:ascii="Arial" w:hAnsi="Arial" w:cs="Arial"/>
          <w:sz w:val="24"/>
          <w:szCs w:val="24"/>
        </w:rPr>
      </w:pPr>
      <w:r w:rsidRPr="00C44B09">
        <w:rPr>
          <w:rFonts w:ascii="Arial" w:hAnsi="Arial" w:cs="Arial"/>
          <w:sz w:val="24"/>
          <w:szCs w:val="24"/>
        </w:rPr>
        <w:t>Os Serviços de Instalação serão seguidos das seguintes atividades:</w:t>
      </w:r>
    </w:p>
    <w:p w14:paraId="251C5CBE"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Posicionamento do veículo e montagem dos EPC’s e EPI’s;</w:t>
      </w:r>
    </w:p>
    <w:p w14:paraId="4C1EBAE4"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Retirar Foto do material existente;</w:t>
      </w:r>
    </w:p>
    <w:p w14:paraId="51F49CCF"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Ensaiar os materiais existentes para separar em Servíveis e Inservíveis;</w:t>
      </w:r>
    </w:p>
    <w:p w14:paraId="3030A531"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Retirar material existente no poste;</w:t>
      </w:r>
    </w:p>
    <w:p w14:paraId="553E032B"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Catalogar material;</w:t>
      </w:r>
    </w:p>
    <w:p w14:paraId="470C7591" w14:textId="691DFCDC" w:rsidR="00143B3F" w:rsidRPr="00C44B09" w:rsidRDefault="004047B3"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Cadastrar</w:t>
      </w:r>
      <w:r w:rsidR="00143B3F" w:rsidRPr="00C44B09">
        <w:rPr>
          <w:rFonts w:ascii="Arial" w:hAnsi="Arial" w:cs="Arial"/>
          <w:sz w:val="24"/>
          <w:szCs w:val="24"/>
        </w:rPr>
        <w:t xml:space="preserve"> o ponto</w:t>
      </w:r>
      <w:r w:rsidR="008235B3">
        <w:rPr>
          <w:rFonts w:ascii="Arial" w:hAnsi="Arial" w:cs="Arial"/>
          <w:sz w:val="24"/>
          <w:szCs w:val="24"/>
        </w:rPr>
        <w:t>.</w:t>
      </w:r>
    </w:p>
    <w:p w14:paraId="44071990"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Montar material em LED;</w:t>
      </w:r>
    </w:p>
    <w:p w14:paraId="5F6C73A4" w14:textId="7C7E22B8"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Instalar Luminária em LED;</w:t>
      </w:r>
    </w:p>
    <w:p w14:paraId="5E9D3B9C" w14:textId="77777777"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Retirar Foto do material instalado;</w:t>
      </w:r>
    </w:p>
    <w:p w14:paraId="5104B220" w14:textId="26562E18" w:rsidR="00143B3F" w:rsidRPr="00C44B09" w:rsidRDefault="00143B3F" w:rsidP="00143B3F">
      <w:pPr>
        <w:pStyle w:val="PargrafodaLista"/>
        <w:numPr>
          <w:ilvl w:val="0"/>
          <w:numId w:val="22"/>
        </w:numPr>
        <w:spacing w:after="0" w:line="240" w:lineRule="auto"/>
        <w:ind w:left="850" w:hanging="357"/>
        <w:rPr>
          <w:rFonts w:ascii="Arial" w:hAnsi="Arial" w:cs="Arial"/>
          <w:sz w:val="24"/>
          <w:szCs w:val="24"/>
        </w:rPr>
      </w:pPr>
      <w:r w:rsidRPr="00C44B09">
        <w:rPr>
          <w:rFonts w:ascii="Arial" w:hAnsi="Arial" w:cs="Arial"/>
          <w:sz w:val="24"/>
          <w:szCs w:val="24"/>
        </w:rPr>
        <w:t>Retirada do EPC’s e EPI´s.</w:t>
      </w:r>
    </w:p>
    <w:p w14:paraId="53332675" w14:textId="7B04E64A" w:rsidR="00F75B4F" w:rsidRPr="00C44B09" w:rsidRDefault="00F75B4F" w:rsidP="00F75B4F">
      <w:pPr>
        <w:spacing w:after="0" w:line="240" w:lineRule="auto"/>
        <w:rPr>
          <w:rFonts w:ascii="Arial" w:hAnsi="Arial" w:cs="Arial"/>
          <w:sz w:val="24"/>
          <w:szCs w:val="24"/>
        </w:rPr>
      </w:pPr>
    </w:p>
    <w:p w14:paraId="3E4614F0" w14:textId="0F4130D7" w:rsidR="00475B1F" w:rsidRPr="00C44B09" w:rsidRDefault="00475B1F" w:rsidP="00475B1F">
      <w:pPr>
        <w:spacing w:after="0" w:line="240" w:lineRule="auto"/>
        <w:rPr>
          <w:rFonts w:ascii="Arial" w:hAnsi="Arial" w:cs="Arial"/>
          <w:sz w:val="24"/>
          <w:szCs w:val="24"/>
        </w:rPr>
      </w:pPr>
      <w:r w:rsidRPr="00C44B09">
        <w:rPr>
          <w:rFonts w:ascii="Arial" w:hAnsi="Arial" w:cs="Arial"/>
          <w:sz w:val="24"/>
          <w:szCs w:val="24"/>
        </w:rPr>
        <w:t xml:space="preserve">A Composição Espelho para implantação de </w:t>
      </w:r>
      <w:r w:rsidR="009277B5" w:rsidRPr="00C44B09">
        <w:rPr>
          <w:rFonts w:ascii="Arial" w:hAnsi="Arial" w:cs="Arial"/>
          <w:sz w:val="24"/>
          <w:szCs w:val="24"/>
        </w:rPr>
        <w:t>Luminária</w:t>
      </w:r>
      <w:r w:rsidRPr="00C44B09">
        <w:rPr>
          <w:rFonts w:ascii="Arial" w:hAnsi="Arial" w:cs="Arial"/>
          <w:sz w:val="24"/>
          <w:szCs w:val="24"/>
        </w:rPr>
        <w:t xml:space="preserve"> para Iluminação Pública </w:t>
      </w:r>
      <w:r w:rsidR="0018499B" w:rsidRPr="00C44B09">
        <w:rPr>
          <w:rFonts w:ascii="Arial" w:hAnsi="Arial" w:cs="Arial"/>
          <w:sz w:val="24"/>
          <w:szCs w:val="24"/>
        </w:rPr>
        <w:t xml:space="preserve">ORSE </w:t>
      </w:r>
      <w:r w:rsidR="00FB26F9" w:rsidRPr="00FB26F9">
        <w:rPr>
          <w:rFonts w:ascii="Arial" w:hAnsi="Arial" w:cs="Arial"/>
          <w:sz w:val="24"/>
          <w:szCs w:val="24"/>
        </w:rPr>
        <w:t>13386</w:t>
      </w:r>
      <w:r w:rsidR="0018499B" w:rsidRPr="00C44B09">
        <w:rPr>
          <w:rFonts w:ascii="Arial" w:hAnsi="Arial" w:cs="Arial"/>
          <w:sz w:val="24"/>
          <w:szCs w:val="24"/>
        </w:rPr>
        <w:t xml:space="preserve"> </w:t>
      </w:r>
    </w:p>
    <w:p w14:paraId="48EFBB56" w14:textId="526A4A90" w:rsidR="00475B1F" w:rsidRPr="00C44B09" w:rsidRDefault="00475B1F" w:rsidP="00475B1F">
      <w:pPr>
        <w:spacing w:after="0" w:line="240" w:lineRule="auto"/>
        <w:rPr>
          <w:rFonts w:ascii="Arial" w:hAnsi="Arial" w:cs="Arial"/>
          <w:sz w:val="24"/>
          <w:szCs w:val="24"/>
        </w:rPr>
      </w:pPr>
      <w:r w:rsidRPr="00C44B09">
        <w:rPr>
          <w:rFonts w:ascii="Arial" w:hAnsi="Arial" w:cs="Arial"/>
          <w:sz w:val="24"/>
          <w:szCs w:val="24"/>
        </w:rPr>
        <w:t>Eletricista: 1h</w:t>
      </w:r>
    </w:p>
    <w:p w14:paraId="2FF2A317" w14:textId="4012877C" w:rsidR="00475B1F" w:rsidRPr="00C44B09" w:rsidRDefault="00475B1F" w:rsidP="00475B1F">
      <w:pPr>
        <w:spacing w:after="0" w:line="240" w:lineRule="auto"/>
        <w:rPr>
          <w:rFonts w:ascii="Arial" w:hAnsi="Arial" w:cs="Arial"/>
          <w:sz w:val="24"/>
          <w:szCs w:val="24"/>
        </w:rPr>
      </w:pPr>
      <w:r w:rsidRPr="00C44B09">
        <w:rPr>
          <w:rFonts w:ascii="Arial" w:hAnsi="Arial" w:cs="Arial"/>
          <w:sz w:val="24"/>
          <w:szCs w:val="24"/>
        </w:rPr>
        <w:t>Auxiliar de Eletricista: 1h</w:t>
      </w:r>
    </w:p>
    <w:p w14:paraId="4188F5AF" w14:textId="77777777" w:rsidR="00475B1F" w:rsidRPr="00C44B09" w:rsidRDefault="00475B1F" w:rsidP="00F75B4F">
      <w:pPr>
        <w:spacing w:after="0" w:line="240" w:lineRule="auto"/>
        <w:rPr>
          <w:rFonts w:ascii="Arial" w:hAnsi="Arial" w:cs="Arial"/>
          <w:sz w:val="24"/>
          <w:szCs w:val="24"/>
        </w:rPr>
      </w:pPr>
    </w:p>
    <w:p w14:paraId="07FAE3A2" w14:textId="5D8D65D8" w:rsidR="00475B1F" w:rsidRPr="00C44B09" w:rsidRDefault="00475B1F" w:rsidP="00F75B4F">
      <w:pPr>
        <w:spacing w:after="0" w:line="240" w:lineRule="auto"/>
        <w:rPr>
          <w:rFonts w:ascii="Arial" w:hAnsi="Arial" w:cs="Arial"/>
          <w:sz w:val="24"/>
          <w:szCs w:val="24"/>
        </w:rPr>
      </w:pPr>
      <w:bookmarkStart w:id="44" w:name="_GoBack"/>
      <w:bookmarkEnd w:id="44"/>
    </w:p>
    <w:p w14:paraId="1488EC26" w14:textId="77777777" w:rsidR="003E038D" w:rsidRPr="00C44B09" w:rsidRDefault="003E038D" w:rsidP="00F75B4F">
      <w:pPr>
        <w:spacing w:after="0" w:line="240" w:lineRule="auto"/>
        <w:rPr>
          <w:rFonts w:ascii="Arial" w:hAnsi="Arial" w:cs="Arial"/>
          <w:sz w:val="24"/>
          <w:szCs w:val="24"/>
        </w:rPr>
      </w:pPr>
    </w:p>
    <w:p w14:paraId="1C0B3FD1" w14:textId="77777777" w:rsidR="004E009D" w:rsidRPr="00C44B09" w:rsidRDefault="004E009D" w:rsidP="00F75B4F">
      <w:pPr>
        <w:spacing w:after="0" w:line="240" w:lineRule="auto"/>
        <w:rPr>
          <w:rFonts w:ascii="Arial" w:hAnsi="Arial" w:cs="Arial"/>
          <w:sz w:val="24"/>
          <w:szCs w:val="24"/>
        </w:rPr>
      </w:pPr>
    </w:p>
    <w:bookmarkEnd w:id="0"/>
    <w:bookmarkEnd w:id="36"/>
    <w:bookmarkEnd w:id="37"/>
    <w:p w14:paraId="2160E218" w14:textId="1EEA2609" w:rsidR="005D6A35" w:rsidRPr="00C44B09" w:rsidRDefault="000A4F42" w:rsidP="005D6A35">
      <w:pPr>
        <w:pStyle w:val="PargrafodaLista"/>
        <w:spacing w:after="0" w:line="240" w:lineRule="auto"/>
        <w:jc w:val="right"/>
        <w:rPr>
          <w:rFonts w:ascii="Arial" w:hAnsi="Arial" w:cs="Arial"/>
          <w:b/>
          <w:bCs/>
          <w:sz w:val="24"/>
          <w:szCs w:val="24"/>
        </w:rPr>
      </w:pPr>
      <w:r>
        <w:rPr>
          <w:rFonts w:ascii="Arial" w:hAnsi="Arial" w:cs="Arial"/>
          <w:bCs/>
        </w:rPr>
        <w:t>Limoeiro</w:t>
      </w:r>
      <w:r w:rsidRPr="00A9325A">
        <w:rPr>
          <w:rFonts w:ascii="Arial" w:hAnsi="Arial" w:cs="Arial"/>
          <w:bCs/>
        </w:rPr>
        <w:t>/</w:t>
      </w:r>
      <w:r>
        <w:rPr>
          <w:rFonts w:ascii="Arial" w:hAnsi="Arial" w:cs="Arial"/>
          <w:bCs/>
        </w:rPr>
        <w:t>PE</w:t>
      </w:r>
      <w:r w:rsidR="005D6A35" w:rsidRPr="00C44B09">
        <w:rPr>
          <w:rFonts w:ascii="Arial" w:hAnsi="Arial" w:cs="Arial"/>
          <w:sz w:val="24"/>
          <w:szCs w:val="24"/>
        </w:rPr>
        <w:t xml:space="preserve">, </w:t>
      </w:r>
      <w:r w:rsidR="004C5963">
        <w:rPr>
          <w:rFonts w:ascii="Arial" w:hAnsi="Arial" w:cs="Arial"/>
          <w:sz w:val="24"/>
          <w:szCs w:val="24"/>
        </w:rPr>
        <w:t>6</w:t>
      </w:r>
      <w:r w:rsidR="005D6A35" w:rsidRPr="00C44B09">
        <w:rPr>
          <w:rFonts w:ascii="Arial" w:hAnsi="Arial" w:cs="Arial"/>
          <w:sz w:val="24"/>
          <w:szCs w:val="24"/>
        </w:rPr>
        <w:t xml:space="preserve"> de </w:t>
      </w:r>
      <w:r w:rsidR="004C5963">
        <w:rPr>
          <w:rFonts w:ascii="Arial" w:hAnsi="Arial" w:cs="Arial"/>
          <w:sz w:val="24"/>
          <w:szCs w:val="24"/>
        </w:rPr>
        <w:t>novembro</w:t>
      </w:r>
      <w:r w:rsidR="005D6A35" w:rsidRPr="00C44B09">
        <w:rPr>
          <w:rFonts w:ascii="Arial" w:hAnsi="Arial" w:cs="Arial"/>
          <w:sz w:val="24"/>
          <w:szCs w:val="24"/>
        </w:rPr>
        <w:t xml:space="preserve"> de 202</w:t>
      </w:r>
      <w:r w:rsidR="008235B3">
        <w:rPr>
          <w:rFonts w:ascii="Arial" w:hAnsi="Arial" w:cs="Arial"/>
          <w:sz w:val="24"/>
          <w:szCs w:val="24"/>
        </w:rPr>
        <w:t>3</w:t>
      </w:r>
      <w:r w:rsidR="005D6A35" w:rsidRPr="00C44B09">
        <w:rPr>
          <w:rFonts w:ascii="Arial" w:hAnsi="Arial" w:cs="Arial"/>
          <w:sz w:val="24"/>
          <w:szCs w:val="24"/>
        </w:rPr>
        <w:t>.</w:t>
      </w:r>
    </w:p>
    <w:p w14:paraId="1CCE6B84" w14:textId="77777777" w:rsidR="005D6A35" w:rsidRPr="00C44B09" w:rsidRDefault="005D6A35" w:rsidP="005D6A35">
      <w:pPr>
        <w:pStyle w:val="PargrafodaLista"/>
        <w:spacing w:after="0" w:line="240" w:lineRule="auto"/>
        <w:jc w:val="both"/>
        <w:rPr>
          <w:rFonts w:ascii="Arial" w:hAnsi="Arial" w:cs="Arial"/>
          <w:sz w:val="24"/>
          <w:szCs w:val="24"/>
        </w:rPr>
      </w:pPr>
    </w:p>
    <w:p w14:paraId="35FF74A8" w14:textId="77777777" w:rsidR="005D6A35" w:rsidRPr="00C44B09" w:rsidRDefault="005D6A35" w:rsidP="005D6A35">
      <w:pPr>
        <w:pStyle w:val="PargrafodaLista"/>
        <w:spacing w:after="0" w:line="240" w:lineRule="auto"/>
        <w:jc w:val="center"/>
        <w:rPr>
          <w:rFonts w:ascii="Arial" w:hAnsi="Arial" w:cs="Arial"/>
          <w:sz w:val="24"/>
          <w:szCs w:val="24"/>
        </w:rPr>
      </w:pPr>
    </w:p>
    <w:p w14:paraId="3DEAFAC8" w14:textId="77777777" w:rsidR="00BD1D10" w:rsidRDefault="00BD1D10" w:rsidP="00BD1D10">
      <w:pPr>
        <w:pStyle w:val="PargrafodaLista"/>
        <w:jc w:val="center"/>
        <w:rPr>
          <w:rFonts w:ascii="Arial" w:hAnsi="Arial" w:cs="Arial"/>
        </w:rPr>
      </w:pPr>
    </w:p>
    <w:p w14:paraId="7AA3AA7C" w14:textId="77777777" w:rsidR="00BD1D10" w:rsidRDefault="00BD1D10" w:rsidP="00BD1D10">
      <w:pPr>
        <w:pStyle w:val="PargrafodaLista"/>
        <w:jc w:val="center"/>
        <w:rPr>
          <w:rFonts w:ascii="Arial" w:hAnsi="Arial" w:cs="Arial"/>
        </w:rPr>
      </w:pPr>
    </w:p>
    <w:p w14:paraId="01E71810" w14:textId="77777777" w:rsidR="00BD1D10" w:rsidRDefault="00BD1D10" w:rsidP="00BD1D10">
      <w:pPr>
        <w:pStyle w:val="PargrafodaLista"/>
        <w:jc w:val="center"/>
        <w:rPr>
          <w:rFonts w:ascii="Arial" w:hAnsi="Arial" w:cs="Arial"/>
        </w:rPr>
      </w:pPr>
      <w:proofErr w:type="spellStart"/>
      <w:r>
        <w:rPr>
          <w:rFonts w:ascii="Arial" w:hAnsi="Arial" w:cs="Arial"/>
        </w:rPr>
        <w:t>Jurandi</w:t>
      </w:r>
      <w:proofErr w:type="spellEnd"/>
      <w:r>
        <w:rPr>
          <w:rFonts w:ascii="Arial" w:hAnsi="Arial" w:cs="Arial"/>
        </w:rPr>
        <w:t xml:space="preserve"> Soares da Silva Filho</w:t>
      </w:r>
    </w:p>
    <w:p w14:paraId="1992BF9C" w14:textId="77777777" w:rsidR="00BD1D10" w:rsidRDefault="00BD1D10" w:rsidP="00BD1D10">
      <w:pPr>
        <w:pStyle w:val="PargrafodaLista"/>
        <w:jc w:val="center"/>
        <w:rPr>
          <w:rFonts w:ascii="Arial" w:hAnsi="Arial" w:cs="Arial"/>
        </w:rPr>
      </w:pPr>
      <w:r>
        <w:rPr>
          <w:rFonts w:ascii="Arial" w:hAnsi="Arial" w:cs="Arial"/>
        </w:rPr>
        <w:t>Diretoria Executiva de Obras</w:t>
      </w:r>
    </w:p>
    <w:p w14:paraId="2DCD7414" w14:textId="77777777" w:rsidR="00BD1D10" w:rsidRPr="00A9325A" w:rsidRDefault="00BD1D10" w:rsidP="00BD1D10">
      <w:pPr>
        <w:pStyle w:val="PargrafodaLista"/>
        <w:jc w:val="center"/>
        <w:rPr>
          <w:rFonts w:ascii="Arial" w:hAnsi="Arial" w:cs="Arial"/>
        </w:rPr>
      </w:pPr>
      <w:r>
        <w:rPr>
          <w:rFonts w:ascii="Arial" w:hAnsi="Arial" w:cs="Arial"/>
        </w:rPr>
        <w:t>Matricula: 86975</w:t>
      </w:r>
    </w:p>
    <w:p w14:paraId="13521685" w14:textId="75A97B2B" w:rsidR="00192493" w:rsidRPr="00C44B09" w:rsidRDefault="00192493" w:rsidP="00BD1D10">
      <w:pPr>
        <w:pStyle w:val="PargrafodaLista"/>
        <w:spacing w:after="0" w:line="240" w:lineRule="auto"/>
        <w:jc w:val="center"/>
        <w:rPr>
          <w:rFonts w:ascii="Arial" w:hAnsi="Arial" w:cs="Arial"/>
          <w:sz w:val="24"/>
          <w:szCs w:val="24"/>
        </w:rPr>
      </w:pPr>
    </w:p>
    <w:sectPr w:rsidR="00192493" w:rsidRPr="00C44B09" w:rsidSect="00220F47">
      <w:headerReference w:type="default" r:id="rId59"/>
      <w:footerReference w:type="default" r:id="rId6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3AEFED7" w14:textId="77777777" w:rsidR="00CE4C79" w:rsidRDefault="00CE4C79" w:rsidP="006722CC">
      <w:pPr>
        <w:spacing w:after="0" w:line="240" w:lineRule="auto"/>
      </w:pPr>
      <w:r>
        <w:separator/>
      </w:r>
    </w:p>
  </w:endnote>
  <w:endnote w:type="continuationSeparator" w:id="0">
    <w:p w14:paraId="3DBD8D3D" w14:textId="77777777" w:rsidR="00CE4C79" w:rsidRDefault="00CE4C79" w:rsidP="006722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Human521 a">
    <w:altName w:val="Courier New"/>
    <w:charset w:val="00"/>
    <w:family w:val="auto"/>
    <w:pitch w:val="variable"/>
    <w:sig w:usb0="00000000" w:usb1="00000000" w:usb2="00000000" w:usb3="00000000" w:csb0="00000001" w:csb1="00000000"/>
  </w:font>
  <w:font w:name="IrisUPC-Identity-H">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6066449"/>
      <w:docPartObj>
        <w:docPartGallery w:val="Page Numbers (Bottom of Page)"/>
        <w:docPartUnique/>
      </w:docPartObj>
    </w:sdtPr>
    <w:sdtEndPr/>
    <w:sdtContent>
      <w:p w14:paraId="389868B0" w14:textId="5837F69E" w:rsidR="00B91E90" w:rsidRDefault="00B91E90">
        <w:pPr>
          <w:pStyle w:val="Rodap"/>
          <w:jc w:val="right"/>
        </w:pPr>
        <w:r>
          <w:fldChar w:fldCharType="begin"/>
        </w:r>
        <w:r>
          <w:instrText>PAGE   \* MERGEFORMAT</w:instrText>
        </w:r>
        <w:r>
          <w:fldChar w:fldCharType="separate"/>
        </w:r>
        <w:r w:rsidR="00BD1D10">
          <w:rPr>
            <w:noProof/>
          </w:rPr>
          <w:t>51</w:t>
        </w:r>
        <w:r>
          <w:fldChar w:fldCharType="end"/>
        </w:r>
      </w:p>
    </w:sdtContent>
  </w:sdt>
  <w:p w14:paraId="42165FC6" w14:textId="77777777" w:rsidR="008235B3" w:rsidRPr="00B35285" w:rsidRDefault="008235B3" w:rsidP="008235B3">
    <w:pPr>
      <w:pStyle w:val="Textoembloco"/>
      <w:spacing w:before="40"/>
      <w:ind w:left="-567" w:right="-567"/>
      <w:rPr>
        <w:rFonts w:ascii="Arial" w:hAnsi="Arial"/>
        <w:sz w:val="18"/>
        <w:lang w:val="pt-BR"/>
      </w:rPr>
    </w:pPr>
    <w:r>
      <w:rPr>
        <w:rFonts w:ascii="Arial" w:hAnsi="Arial"/>
        <w:sz w:val="18"/>
        <w:lang w:val="pt-BR"/>
      </w:rPr>
      <w:t>METODOLOGIA DE ESTUDO E ANÁLISE DA ILUMINAÇÃO PÚBLICA</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B2F933" w14:textId="6C85FB2E" w:rsidR="00C80C5D" w:rsidRDefault="00B91E90">
    <w:pPr>
      <w:pStyle w:val="Rodap"/>
      <w:jc w:val="right"/>
    </w:pPr>
    <w:r>
      <w:t>5</w:t>
    </w:r>
    <w:r w:rsidR="008235B3">
      <w:t>2</w:t>
    </w:r>
  </w:p>
  <w:p w14:paraId="6A79A8C3" w14:textId="77777777" w:rsidR="00C80C5D" w:rsidRPr="00B35285" w:rsidRDefault="00C80C5D" w:rsidP="00C80C5D">
    <w:pPr>
      <w:pStyle w:val="Textoembloco"/>
      <w:spacing w:before="40"/>
      <w:ind w:left="-567" w:right="-567"/>
      <w:rPr>
        <w:rFonts w:ascii="Arial" w:hAnsi="Arial"/>
        <w:sz w:val="18"/>
        <w:lang w:val="pt-BR"/>
      </w:rPr>
    </w:pPr>
    <w:r>
      <w:rPr>
        <w:rFonts w:ascii="Arial" w:hAnsi="Arial"/>
        <w:sz w:val="18"/>
        <w:lang w:val="pt-BR"/>
      </w:rPr>
      <w:t>METODOLOGIA DE ESTUDO E ANÁLISE DA ILUMINAÇÃO PÚBLICA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F343DC" w14:textId="77777777" w:rsidR="00CE4C79" w:rsidRDefault="00CE4C79" w:rsidP="006722CC">
      <w:pPr>
        <w:spacing w:after="0" w:line="240" w:lineRule="auto"/>
      </w:pPr>
      <w:r>
        <w:separator/>
      </w:r>
    </w:p>
  </w:footnote>
  <w:footnote w:type="continuationSeparator" w:id="0">
    <w:p w14:paraId="374A0EB9" w14:textId="77777777" w:rsidR="00CE4C79" w:rsidRDefault="00CE4C79" w:rsidP="006722C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70B609" w14:textId="3EA0C245" w:rsidR="00A460A0" w:rsidRDefault="000A4F42" w:rsidP="002F287E">
    <w:pPr>
      <w:pStyle w:val="Cabealho"/>
      <w:jc w:val="center"/>
    </w:pPr>
    <w:r>
      <w:rPr>
        <w:noProof/>
        <w:lang w:eastAsia="pt-BR"/>
      </w:rPr>
      <w:drawing>
        <wp:inline distT="0" distB="0" distL="0" distR="0" wp14:anchorId="3849B47F" wp14:editId="7E9E4765">
          <wp:extent cx="2190750" cy="938463"/>
          <wp:effectExtent l="0" t="0" r="0" b="0"/>
          <wp:docPr id="128486135" name="Imagem 1" descr="Prefeitura de Limoei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feitura de Limoeir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4596" cy="957245"/>
                  </a:xfrm>
                  <a:prstGeom prst="rect">
                    <a:avLst/>
                  </a:prstGeom>
                  <a:noFill/>
                  <a:ln>
                    <a:noFill/>
                  </a:ln>
                </pic:spPr>
              </pic:pic>
            </a:graphicData>
          </a:graphic>
        </wp:inline>
      </w:drawing>
    </w:r>
  </w:p>
  <w:p w14:paraId="2206ECF5" w14:textId="77777777" w:rsidR="0004424C" w:rsidRDefault="0004424C">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2AA4B9" w14:textId="403F9445" w:rsidR="0018712E" w:rsidRDefault="007C7D07" w:rsidP="0018712E">
    <w:pPr>
      <w:pStyle w:val="Cabealho"/>
      <w:jc w:val="center"/>
    </w:pPr>
    <w:r>
      <w:rPr>
        <w:noProof/>
        <w:lang w:eastAsia="pt-BR"/>
      </w:rPr>
      <w:drawing>
        <wp:inline distT="0" distB="0" distL="0" distR="0" wp14:anchorId="6227E578" wp14:editId="2F9B1498">
          <wp:extent cx="2190750" cy="938463"/>
          <wp:effectExtent l="0" t="0" r="0" b="0"/>
          <wp:docPr id="1538066731" name="Imagem 1538066731" descr="Prefeitura de Limoei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feitura de Limoeir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4596" cy="957245"/>
                  </a:xfrm>
                  <a:prstGeom prst="rect">
                    <a:avLst/>
                  </a:prstGeom>
                  <a:noFill/>
                  <a:ln>
                    <a:noFill/>
                  </a:ln>
                </pic:spPr>
              </pic:pic>
            </a:graphicData>
          </a:graphic>
        </wp:inline>
      </w:drawing>
    </w:r>
  </w:p>
  <w:p w14:paraId="70FDFD75" w14:textId="77777777" w:rsidR="0018712E" w:rsidRDefault="0018712E">
    <w:pPr>
      <w:spacing w:line="200"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7172A"/>
    <w:multiLevelType w:val="hybridMultilevel"/>
    <w:tmpl w:val="9FBC87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031F669B"/>
    <w:multiLevelType w:val="hybridMultilevel"/>
    <w:tmpl w:val="3F16BC0A"/>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2">
    <w:nsid w:val="05413181"/>
    <w:multiLevelType w:val="multilevel"/>
    <w:tmpl w:val="BE9E6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0F4541"/>
    <w:multiLevelType w:val="multilevel"/>
    <w:tmpl w:val="9954BD8E"/>
    <w:lvl w:ilvl="0">
      <w:start w:val="1"/>
      <w:numFmt w:val="decimal"/>
      <w:lvlText w:val="%1."/>
      <w:lvlJc w:val="left"/>
      <w:pPr>
        <w:ind w:left="1440" w:hanging="360"/>
      </w:pPr>
      <w:rPr>
        <w:rFonts w:hint="default"/>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
    <w:nsid w:val="100D7EE0"/>
    <w:multiLevelType w:val="hybridMultilevel"/>
    <w:tmpl w:val="503EC9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4BD4882"/>
    <w:multiLevelType w:val="hybridMultilevel"/>
    <w:tmpl w:val="E18EB222"/>
    <w:lvl w:ilvl="0" w:tplc="04160001">
      <w:start w:val="1"/>
      <w:numFmt w:val="bullet"/>
      <w:lvlText w:val=""/>
      <w:lvlJc w:val="left"/>
      <w:pPr>
        <w:ind w:left="840" w:hanging="360"/>
      </w:pPr>
      <w:rPr>
        <w:rFonts w:ascii="Symbol" w:hAnsi="Symbol" w:hint="default"/>
      </w:rPr>
    </w:lvl>
    <w:lvl w:ilvl="1" w:tplc="04160003" w:tentative="1">
      <w:start w:val="1"/>
      <w:numFmt w:val="bullet"/>
      <w:lvlText w:val="o"/>
      <w:lvlJc w:val="left"/>
      <w:pPr>
        <w:ind w:left="1560" w:hanging="360"/>
      </w:pPr>
      <w:rPr>
        <w:rFonts w:ascii="Courier New" w:hAnsi="Courier New" w:cs="Courier New" w:hint="default"/>
      </w:rPr>
    </w:lvl>
    <w:lvl w:ilvl="2" w:tplc="04160005" w:tentative="1">
      <w:start w:val="1"/>
      <w:numFmt w:val="bullet"/>
      <w:lvlText w:val=""/>
      <w:lvlJc w:val="left"/>
      <w:pPr>
        <w:ind w:left="2280" w:hanging="360"/>
      </w:pPr>
      <w:rPr>
        <w:rFonts w:ascii="Wingdings" w:hAnsi="Wingdings" w:hint="default"/>
      </w:rPr>
    </w:lvl>
    <w:lvl w:ilvl="3" w:tplc="04160001" w:tentative="1">
      <w:start w:val="1"/>
      <w:numFmt w:val="bullet"/>
      <w:lvlText w:val=""/>
      <w:lvlJc w:val="left"/>
      <w:pPr>
        <w:ind w:left="3000" w:hanging="360"/>
      </w:pPr>
      <w:rPr>
        <w:rFonts w:ascii="Symbol" w:hAnsi="Symbol" w:hint="default"/>
      </w:rPr>
    </w:lvl>
    <w:lvl w:ilvl="4" w:tplc="04160003" w:tentative="1">
      <w:start w:val="1"/>
      <w:numFmt w:val="bullet"/>
      <w:lvlText w:val="o"/>
      <w:lvlJc w:val="left"/>
      <w:pPr>
        <w:ind w:left="3720" w:hanging="360"/>
      </w:pPr>
      <w:rPr>
        <w:rFonts w:ascii="Courier New" w:hAnsi="Courier New" w:cs="Courier New" w:hint="default"/>
      </w:rPr>
    </w:lvl>
    <w:lvl w:ilvl="5" w:tplc="04160005" w:tentative="1">
      <w:start w:val="1"/>
      <w:numFmt w:val="bullet"/>
      <w:lvlText w:val=""/>
      <w:lvlJc w:val="left"/>
      <w:pPr>
        <w:ind w:left="4440" w:hanging="360"/>
      </w:pPr>
      <w:rPr>
        <w:rFonts w:ascii="Wingdings" w:hAnsi="Wingdings" w:hint="default"/>
      </w:rPr>
    </w:lvl>
    <w:lvl w:ilvl="6" w:tplc="04160001" w:tentative="1">
      <w:start w:val="1"/>
      <w:numFmt w:val="bullet"/>
      <w:lvlText w:val=""/>
      <w:lvlJc w:val="left"/>
      <w:pPr>
        <w:ind w:left="5160" w:hanging="360"/>
      </w:pPr>
      <w:rPr>
        <w:rFonts w:ascii="Symbol" w:hAnsi="Symbol" w:hint="default"/>
      </w:rPr>
    </w:lvl>
    <w:lvl w:ilvl="7" w:tplc="04160003" w:tentative="1">
      <w:start w:val="1"/>
      <w:numFmt w:val="bullet"/>
      <w:lvlText w:val="o"/>
      <w:lvlJc w:val="left"/>
      <w:pPr>
        <w:ind w:left="5880" w:hanging="360"/>
      </w:pPr>
      <w:rPr>
        <w:rFonts w:ascii="Courier New" w:hAnsi="Courier New" w:cs="Courier New" w:hint="default"/>
      </w:rPr>
    </w:lvl>
    <w:lvl w:ilvl="8" w:tplc="04160005" w:tentative="1">
      <w:start w:val="1"/>
      <w:numFmt w:val="bullet"/>
      <w:lvlText w:val=""/>
      <w:lvlJc w:val="left"/>
      <w:pPr>
        <w:ind w:left="6600" w:hanging="360"/>
      </w:pPr>
      <w:rPr>
        <w:rFonts w:ascii="Wingdings" w:hAnsi="Wingdings" w:hint="default"/>
      </w:rPr>
    </w:lvl>
  </w:abstractNum>
  <w:abstractNum w:abstractNumId="6">
    <w:nsid w:val="14FD74D2"/>
    <w:multiLevelType w:val="hybridMultilevel"/>
    <w:tmpl w:val="D07E02F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7">
    <w:nsid w:val="15883A72"/>
    <w:multiLevelType w:val="multilevel"/>
    <w:tmpl w:val="EBBC4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0307F3"/>
    <w:multiLevelType w:val="hybridMultilevel"/>
    <w:tmpl w:val="44141D40"/>
    <w:lvl w:ilvl="0" w:tplc="04160001">
      <w:start w:val="1"/>
      <w:numFmt w:val="bullet"/>
      <w:lvlText w:val=""/>
      <w:lvlJc w:val="left"/>
      <w:pPr>
        <w:ind w:left="420" w:hanging="360"/>
      </w:pPr>
      <w:rPr>
        <w:rFonts w:ascii="Symbol" w:hAnsi="Symbol" w:hint="default"/>
      </w:rPr>
    </w:lvl>
    <w:lvl w:ilvl="1" w:tplc="04160003" w:tentative="1">
      <w:start w:val="1"/>
      <w:numFmt w:val="bullet"/>
      <w:lvlText w:val="o"/>
      <w:lvlJc w:val="left"/>
      <w:pPr>
        <w:ind w:left="1140" w:hanging="360"/>
      </w:pPr>
      <w:rPr>
        <w:rFonts w:ascii="Courier New" w:hAnsi="Courier New" w:cs="Courier New" w:hint="default"/>
      </w:rPr>
    </w:lvl>
    <w:lvl w:ilvl="2" w:tplc="04160005" w:tentative="1">
      <w:start w:val="1"/>
      <w:numFmt w:val="bullet"/>
      <w:lvlText w:val=""/>
      <w:lvlJc w:val="left"/>
      <w:pPr>
        <w:ind w:left="1860" w:hanging="360"/>
      </w:pPr>
      <w:rPr>
        <w:rFonts w:ascii="Wingdings" w:hAnsi="Wingdings" w:hint="default"/>
      </w:rPr>
    </w:lvl>
    <w:lvl w:ilvl="3" w:tplc="04160001" w:tentative="1">
      <w:start w:val="1"/>
      <w:numFmt w:val="bullet"/>
      <w:lvlText w:val=""/>
      <w:lvlJc w:val="left"/>
      <w:pPr>
        <w:ind w:left="2580" w:hanging="360"/>
      </w:pPr>
      <w:rPr>
        <w:rFonts w:ascii="Symbol" w:hAnsi="Symbol" w:hint="default"/>
      </w:rPr>
    </w:lvl>
    <w:lvl w:ilvl="4" w:tplc="04160003" w:tentative="1">
      <w:start w:val="1"/>
      <w:numFmt w:val="bullet"/>
      <w:lvlText w:val="o"/>
      <w:lvlJc w:val="left"/>
      <w:pPr>
        <w:ind w:left="3300" w:hanging="360"/>
      </w:pPr>
      <w:rPr>
        <w:rFonts w:ascii="Courier New" w:hAnsi="Courier New" w:cs="Courier New" w:hint="default"/>
      </w:rPr>
    </w:lvl>
    <w:lvl w:ilvl="5" w:tplc="04160005" w:tentative="1">
      <w:start w:val="1"/>
      <w:numFmt w:val="bullet"/>
      <w:lvlText w:val=""/>
      <w:lvlJc w:val="left"/>
      <w:pPr>
        <w:ind w:left="4020" w:hanging="360"/>
      </w:pPr>
      <w:rPr>
        <w:rFonts w:ascii="Wingdings" w:hAnsi="Wingdings" w:hint="default"/>
      </w:rPr>
    </w:lvl>
    <w:lvl w:ilvl="6" w:tplc="04160001" w:tentative="1">
      <w:start w:val="1"/>
      <w:numFmt w:val="bullet"/>
      <w:lvlText w:val=""/>
      <w:lvlJc w:val="left"/>
      <w:pPr>
        <w:ind w:left="4740" w:hanging="360"/>
      </w:pPr>
      <w:rPr>
        <w:rFonts w:ascii="Symbol" w:hAnsi="Symbol" w:hint="default"/>
      </w:rPr>
    </w:lvl>
    <w:lvl w:ilvl="7" w:tplc="04160003" w:tentative="1">
      <w:start w:val="1"/>
      <w:numFmt w:val="bullet"/>
      <w:lvlText w:val="o"/>
      <w:lvlJc w:val="left"/>
      <w:pPr>
        <w:ind w:left="5460" w:hanging="360"/>
      </w:pPr>
      <w:rPr>
        <w:rFonts w:ascii="Courier New" w:hAnsi="Courier New" w:cs="Courier New" w:hint="default"/>
      </w:rPr>
    </w:lvl>
    <w:lvl w:ilvl="8" w:tplc="04160005" w:tentative="1">
      <w:start w:val="1"/>
      <w:numFmt w:val="bullet"/>
      <w:lvlText w:val=""/>
      <w:lvlJc w:val="left"/>
      <w:pPr>
        <w:ind w:left="6180" w:hanging="360"/>
      </w:pPr>
      <w:rPr>
        <w:rFonts w:ascii="Wingdings" w:hAnsi="Wingdings" w:hint="default"/>
      </w:rPr>
    </w:lvl>
  </w:abstractNum>
  <w:abstractNum w:abstractNumId="9">
    <w:nsid w:val="1C3B4AEE"/>
    <w:multiLevelType w:val="multilevel"/>
    <w:tmpl w:val="5B74EE5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
    <w:nsid w:val="209B04FC"/>
    <w:multiLevelType w:val="hybridMultilevel"/>
    <w:tmpl w:val="CE66C4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20E23299"/>
    <w:multiLevelType w:val="multilevel"/>
    <w:tmpl w:val="9954BD8E"/>
    <w:lvl w:ilvl="0">
      <w:start w:val="1"/>
      <w:numFmt w:val="decimal"/>
      <w:lvlText w:val="%1."/>
      <w:lvlJc w:val="left"/>
      <w:pPr>
        <w:ind w:left="1440" w:hanging="360"/>
      </w:pPr>
      <w:rPr>
        <w:rFonts w:hint="default"/>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2">
    <w:nsid w:val="245175D1"/>
    <w:multiLevelType w:val="multilevel"/>
    <w:tmpl w:val="9954BD8E"/>
    <w:lvl w:ilvl="0">
      <w:start w:val="1"/>
      <w:numFmt w:val="decimal"/>
      <w:lvlText w:val="%1."/>
      <w:lvlJc w:val="left"/>
      <w:pPr>
        <w:ind w:left="1440" w:hanging="360"/>
      </w:pPr>
      <w:rPr>
        <w:rFonts w:hint="default"/>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13">
    <w:nsid w:val="24575474"/>
    <w:multiLevelType w:val="multilevel"/>
    <w:tmpl w:val="5B74EE5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nsid w:val="2BAC14FB"/>
    <w:multiLevelType w:val="hybridMultilevel"/>
    <w:tmpl w:val="1CBE0644"/>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15">
    <w:nsid w:val="2C242BC6"/>
    <w:multiLevelType w:val="multilevel"/>
    <w:tmpl w:val="01649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36F7447"/>
    <w:multiLevelType w:val="multilevel"/>
    <w:tmpl w:val="26888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312D29"/>
    <w:multiLevelType w:val="hybridMultilevel"/>
    <w:tmpl w:val="997A56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nsid w:val="396D4203"/>
    <w:multiLevelType w:val="multilevel"/>
    <w:tmpl w:val="4D7010D6"/>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9">
    <w:nsid w:val="39704682"/>
    <w:multiLevelType w:val="multilevel"/>
    <w:tmpl w:val="57E0A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1220442"/>
    <w:multiLevelType w:val="multilevel"/>
    <w:tmpl w:val="2CDC4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2450D60"/>
    <w:multiLevelType w:val="hybridMultilevel"/>
    <w:tmpl w:val="9EC8FF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44F11FE0"/>
    <w:multiLevelType w:val="hybridMultilevel"/>
    <w:tmpl w:val="1DFCB4C0"/>
    <w:lvl w:ilvl="0" w:tplc="A29812E6">
      <w:start w:val="1"/>
      <w:numFmt w:val="bullet"/>
      <w:lvlText w:val=""/>
      <w:lvlJc w:val="left"/>
      <w:pPr>
        <w:ind w:left="360" w:hanging="360"/>
      </w:pPr>
      <w:rPr>
        <w:rFonts w:ascii="Symbol" w:hAnsi="Symbol" w:hint="default"/>
      </w:rPr>
    </w:lvl>
    <w:lvl w:ilvl="1" w:tplc="04160003">
      <w:start w:val="1"/>
      <w:numFmt w:val="bullet"/>
      <w:lvlText w:val="o"/>
      <w:lvlJc w:val="left"/>
      <w:pPr>
        <w:ind w:left="2574" w:hanging="360"/>
      </w:pPr>
      <w:rPr>
        <w:rFonts w:ascii="Courier New" w:hAnsi="Courier New" w:cs="Courier New" w:hint="default"/>
      </w:rPr>
    </w:lvl>
    <w:lvl w:ilvl="2" w:tplc="04160005">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3">
    <w:nsid w:val="45CE4392"/>
    <w:multiLevelType w:val="multilevel"/>
    <w:tmpl w:val="4D7010D6"/>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nsid w:val="4C3A175A"/>
    <w:multiLevelType w:val="multilevel"/>
    <w:tmpl w:val="FFBA4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2CB055E"/>
    <w:multiLevelType w:val="hybridMultilevel"/>
    <w:tmpl w:val="13FC0294"/>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26">
    <w:nsid w:val="56C3408F"/>
    <w:multiLevelType w:val="hybridMultilevel"/>
    <w:tmpl w:val="D4F695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58822BCA"/>
    <w:multiLevelType w:val="multilevel"/>
    <w:tmpl w:val="949246D6"/>
    <w:lvl w:ilvl="0">
      <w:start w:val="1"/>
      <w:numFmt w:val="decimal"/>
      <w:lvlText w:val="%1."/>
      <w:lvlJc w:val="left"/>
      <w:pPr>
        <w:ind w:left="1440" w:hanging="360"/>
      </w:p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8">
    <w:nsid w:val="58EA41F7"/>
    <w:multiLevelType w:val="hybridMultilevel"/>
    <w:tmpl w:val="BB18F73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EFE0222"/>
    <w:multiLevelType w:val="hybridMultilevel"/>
    <w:tmpl w:val="7BE8DF2E"/>
    <w:lvl w:ilvl="0" w:tplc="71E6F65A">
      <w:numFmt w:val="bullet"/>
      <w:lvlText w:val=""/>
      <w:lvlJc w:val="left"/>
      <w:pPr>
        <w:ind w:left="420" w:hanging="360"/>
      </w:pPr>
      <w:rPr>
        <w:rFonts w:ascii="Arial" w:eastAsiaTheme="minorHAnsi" w:hAnsi="Arial" w:cs="Arial" w:hint="default"/>
      </w:rPr>
    </w:lvl>
    <w:lvl w:ilvl="1" w:tplc="04160003" w:tentative="1">
      <w:start w:val="1"/>
      <w:numFmt w:val="bullet"/>
      <w:lvlText w:val="o"/>
      <w:lvlJc w:val="left"/>
      <w:pPr>
        <w:ind w:left="1140" w:hanging="360"/>
      </w:pPr>
      <w:rPr>
        <w:rFonts w:ascii="Courier New" w:hAnsi="Courier New" w:cs="Courier New" w:hint="default"/>
      </w:rPr>
    </w:lvl>
    <w:lvl w:ilvl="2" w:tplc="04160005" w:tentative="1">
      <w:start w:val="1"/>
      <w:numFmt w:val="bullet"/>
      <w:lvlText w:val=""/>
      <w:lvlJc w:val="left"/>
      <w:pPr>
        <w:ind w:left="1860" w:hanging="360"/>
      </w:pPr>
      <w:rPr>
        <w:rFonts w:ascii="Wingdings" w:hAnsi="Wingdings" w:hint="default"/>
      </w:rPr>
    </w:lvl>
    <w:lvl w:ilvl="3" w:tplc="04160001" w:tentative="1">
      <w:start w:val="1"/>
      <w:numFmt w:val="bullet"/>
      <w:lvlText w:val=""/>
      <w:lvlJc w:val="left"/>
      <w:pPr>
        <w:ind w:left="2580" w:hanging="360"/>
      </w:pPr>
      <w:rPr>
        <w:rFonts w:ascii="Symbol" w:hAnsi="Symbol" w:hint="default"/>
      </w:rPr>
    </w:lvl>
    <w:lvl w:ilvl="4" w:tplc="04160003" w:tentative="1">
      <w:start w:val="1"/>
      <w:numFmt w:val="bullet"/>
      <w:lvlText w:val="o"/>
      <w:lvlJc w:val="left"/>
      <w:pPr>
        <w:ind w:left="3300" w:hanging="360"/>
      </w:pPr>
      <w:rPr>
        <w:rFonts w:ascii="Courier New" w:hAnsi="Courier New" w:cs="Courier New" w:hint="default"/>
      </w:rPr>
    </w:lvl>
    <w:lvl w:ilvl="5" w:tplc="04160005" w:tentative="1">
      <w:start w:val="1"/>
      <w:numFmt w:val="bullet"/>
      <w:lvlText w:val=""/>
      <w:lvlJc w:val="left"/>
      <w:pPr>
        <w:ind w:left="4020" w:hanging="360"/>
      </w:pPr>
      <w:rPr>
        <w:rFonts w:ascii="Wingdings" w:hAnsi="Wingdings" w:hint="default"/>
      </w:rPr>
    </w:lvl>
    <w:lvl w:ilvl="6" w:tplc="04160001" w:tentative="1">
      <w:start w:val="1"/>
      <w:numFmt w:val="bullet"/>
      <w:lvlText w:val=""/>
      <w:lvlJc w:val="left"/>
      <w:pPr>
        <w:ind w:left="4740" w:hanging="360"/>
      </w:pPr>
      <w:rPr>
        <w:rFonts w:ascii="Symbol" w:hAnsi="Symbol" w:hint="default"/>
      </w:rPr>
    </w:lvl>
    <w:lvl w:ilvl="7" w:tplc="04160003" w:tentative="1">
      <w:start w:val="1"/>
      <w:numFmt w:val="bullet"/>
      <w:lvlText w:val="o"/>
      <w:lvlJc w:val="left"/>
      <w:pPr>
        <w:ind w:left="5460" w:hanging="360"/>
      </w:pPr>
      <w:rPr>
        <w:rFonts w:ascii="Courier New" w:hAnsi="Courier New" w:cs="Courier New" w:hint="default"/>
      </w:rPr>
    </w:lvl>
    <w:lvl w:ilvl="8" w:tplc="04160005" w:tentative="1">
      <w:start w:val="1"/>
      <w:numFmt w:val="bullet"/>
      <w:lvlText w:val=""/>
      <w:lvlJc w:val="left"/>
      <w:pPr>
        <w:ind w:left="6180" w:hanging="360"/>
      </w:pPr>
      <w:rPr>
        <w:rFonts w:ascii="Wingdings" w:hAnsi="Wingdings" w:hint="default"/>
      </w:rPr>
    </w:lvl>
  </w:abstractNum>
  <w:abstractNum w:abstractNumId="30">
    <w:nsid w:val="60AB57E9"/>
    <w:multiLevelType w:val="hybridMultilevel"/>
    <w:tmpl w:val="94DAF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66BE459B"/>
    <w:multiLevelType w:val="multilevel"/>
    <w:tmpl w:val="3E581E32"/>
    <w:lvl w:ilvl="0">
      <w:start w:val="1"/>
      <w:numFmt w:val="decimal"/>
      <w:lvlText w:val="%1."/>
      <w:lvlJc w:val="left"/>
      <w:pPr>
        <w:ind w:left="942" w:hanging="221"/>
        <w:jc w:val="left"/>
      </w:pPr>
      <w:rPr>
        <w:rFonts w:ascii="Times New Roman" w:eastAsia="Times New Roman" w:hAnsi="Times New Roman" w:cs="Times New Roman" w:hint="default"/>
        <w:b/>
        <w:bCs/>
        <w:w w:val="100"/>
        <w:sz w:val="22"/>
        <w:szCs w:val="22"/>
        <w:lang w:val="pt-PT" w:eastAsia="en-US" w:bidi="ar-SA"/>
      </w:rPr>
    </w:lvl>
    <w:lvl w:ilvl="1">
      <w:start w:val="1"/>
      <w:numFmt w:val="decimal"/>
      <w:lvlText w:val="%1.%2"/>
      <w:lvlJc w:val="left"/>
      <w:pPr>
        <w:ind w:left="1053" w:hanging="332"/>
        <w:jc w:val="right"/>
      </w:pPr>
      <w:rPr>
        <w:rFonts w:ascii="Times New Roman" w:eastAsia="Times New Roman" w:hAnsi="Times New Roman" w:cs="Times New Roman" w:hint="default"/>
        <w:b/>
        <w:bCs/>
        <w:i/>
        <w:w w:val="100"/>
        <w:sz w:val="22"/>
        <w:szCs w:val="22"/>
        <w:lang w:val="pt-PT" w:eastAsia="en-US" w:bidi="ar-SA"/>
      </w:rPr>
    </w:lvl>
    <w:lvl w:ilvl="2">
      <w:start w:val="1"/>
      <w:numFmt w:val="decimal"/>
      <w:lvlText w:val="%1.%2.%3"/>
      <w:lvlJc w:val="left"/>
      <w:pPr>
        <w:ind w:left="1218" w:hanging="497"/>
        <w:jc w:val="left"/>
      </w:pPr>
      <w:rPr>
        <w:rFonts w:hint="default"/>
        <w:b/>
        <w:bCs/>
        <w:i/>
        <w:w w:val="100"/>
        <w:lang w:val="pt-PT" w:eastAsia="en-US" w:bidi="ar-SA"/>
      </w:rPr>
    </w:lvl>
    <w:lvl w:ilvl="3">
      <w:numFmt w:val="bullet"/>
      <w:lvlText w:val="•"/>
      <w:lvlJc w:val="left"/>
      <w:pPr>
        <w:ind w:left="722" w:hanging="497"/>
      </w:pPr>
      <w:rPr>
        <w:rFonts w:ascii="Times New Roman" w:eastAsia="Times New Roman" w:hAnsi="Times New Roman" w:cs="Times New Roman" w:hint="default"/>
        <w:w w:val="100"/>
        <w:sz w:val="22"/>
        <w:szCs w:val="22"/>
        <w:lang w:val="pt-PT" w:eastAsia="en-US" w:bidi="ar-SA"/>
      </w:rPr>
    </w:lvl>
    <w:lvl w:ilvl="4">
      <w:numFmt w:val="bullet"/>
      <w:lvlText w:val="•"/>
      <w:lvlJc w:val="left"/>
      <w:pPr>
        <w:ind w:left="1940" w:hanging="497"/>
      </w:pPr>
      <w:rPr>
        <w:rFonts w:hint="default"/>
        <w:lang w:val="pt-PT" w:eastAsia="en-US" w:bidi="ar-SA"/>
      </w:rPr>
    </w:lvl>
    <w:lvl w:ilvl="5">
      <w:numFmt w:val="bullet"/>
      <w:lvlText w:val="•"/>
      <w:lvlJc w:val="left"/>
      <w:pPr>
        <w:ind w:left="3277" w:hanging="497"/>
      </w:pPr>
      <w:rPr>
        <w:rFonts w:hint="default"/>
        <w:lang w:val="pt-PT" w:eastAsia="en-US" w:bidi="ar-SA"/>
      </w:rPr>
    </w:lvl>
    <w:lvl w:ilvl="6">
      <w:numFmt w:val="bullet"/>
      <w:lvlText w:val="•"/>
      <w:lvlJc w:val="left"/>
      <w:pPr>
        <w:ind w:left="4615" w:hanging="497"/>
      </w:pPr>
      <w:rPr>
        <w:rFonts w:hint="default"/>
        <w:lang w:val="pt-PT" w:eastAsia="en-US" w:bidi="ar-SA"/>
      </w:rPr>
    </w:lvl>
    <w:lvl w:ilvl="7">
      <w:numFmt w:val="bullet"/>
      <w:lvlText w:val="•"/>
      <w:lvlJc w:val="left"/>
      <w:pPr>
        <w:ind w:left="5953" w:hanging="497"/>
      </w:pPr>
      <w:rPr>
        <w:rFonts w:hint="default"/>
        <w:lang w:val="pt-PT" w:eastAsia="en-US" w:bidi="ar-SA"/>
      </w:rPr>
    </w:lvl>
    <w:lvl w:ilvl="8">
      <w:numFmt w:val="bullet"/>
      <w:lvlText w:val="•"/>
      <w:lvlJc w:val="left"/>
      <w:pPr>
        <w:ind w:left="7290" w:hanging="497"/>
      </w:pPr>
      <w:rPr>
        <w:rFonts w:hint="default"/>
        <w:lang w:val="pt-PT" w:eastAsia="en-US" w:bidi="ar-SA"/>
      </w:rPr>
    </w:lvl>
  </w:abstractNum>
  <w:abstractNum w:abstractNumId="32">
    <w:nsid w:val="6B847482"/>
    <w:multiLevelType w:val="hybridMultilevel"/>
    <w:tmpl w:val="EF9A96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74622A78"/>
    <w:multiLevelType w:val="hybridMultilevel"/>
    <w:tmpl w:val="F368661A"/>
    <w:lvl w:ilvl="0" w:tplc="5D366EB6">
      <w:start w:val="1"/>
      <w:numFmt w:val="bullet"/>
      <w:lvlText w:val=""/>
      <w:lvlJc w:val="left"/>
      <w:pPr>
        <w:ind w:left="360" w:hanging="360"/>
      </w:pPr>
      <w:rPr>
        <w:rFonts w:ascii="Symbol" w:hAnsi="Symbol" w:hint="default"/>
        <w:b w:val="0"/>
        <w:sz w:val="24"/>
        <w:szCs w:val="24"/>
      </w:rPr>
    </w:lvl>
    <w:lvl w:ilvl="1" w:tplc="04160003">
      <w:start w:val="1"/>
      <w:numFmt w:val="bullet"/>
      <w:lvlText w:val="o"/>
      <w:lvlJc w:val="left"/>
      <w:pPr>
        <w:ind w:left="2574" w:hanging="360"/>
      </w:pPr>
      <w:rPr>
        <w:rFonts w:ascii="Courier New" w:hAnsi="Courier New" w:cs="Courier New" w:hint="default"/>
      </w:rPr>
    </w:lvl>
    <w:lvl w:ilvl="2" w:tplc="04160005">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34">
    <w:nsid w:val="770B2C28"/>
    <w:multiLevelType w:val="hybridMultilevel"/>
    <w:tmpl w:val="D4764352"/>
    <w:lvl w:ilvl="0" w:tplc="EC505A68">
      <w:start w:val="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7F8F5CEC"/>
    <w:multiLevelType w:val="hybridMultilevel"/>
    <w:tmpl w:val="09E2704C"/>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abstractNumId w:val="32"/>
  </w:num>
  <w:num w:numId="2">
    <w:abstractNumId w:val="29"/>
  </w:num>
  <w:num w:numId="3">
    <w:abstractNumId w:val="8"/>
  </w:num>
  <w:num w:numId="4">
    <w:abstractNumId w:val="25"/>
  </w:num>
  <w:num w:numId="5">
    <w:abstractNumId w:val="30"/>
  </w:num>
  <w:num w:numId="6">
    <w:abstractNumId w:val="17"/>
  </w:num>
  <w:num w:numId="7">
    <w:abstractNumId w:val="26"/>
  </w:num>
  <w:num w:numId="8">
    <w:abstractNumId w:val="6"/>
  </w:num>
  <w:num w:numId="9">
    <w:abstractNumId w:val="21"/>
  </w:num>
  <w:num w:numId="10">
    <w:abstractNumId w:val="14"/>
  </w:num>
  <w:num w:numId="11">
    <w:abstractNumId w:val="5"/>
  </w:num>
  <w:num w:numId="12">
    <w:abstractNumId w:val="1"/>
  </w:num>
  <w:num w:numId="13">
    <w:abstractNumId w:val="35"/>
  </w:num>
  <w:num w:numId="14">
    <w:abstractNumId w:val="10"/>
  </w:num>
  <w:num w:numId="15">
    <w:abstractNumId w:val="18"/>
  </w:num>
  <w:num w:numId="16">
    <w:abstractNumId w:val="23"/>
  </w:num>
  <w:num w:numId="17">
    <w:abstractNumId w:val="13"/>
  </w:num>
  <w:num w:numId="18">
    <w:abstractNumId w:val="9"/>
  </w:num>
  <w:num w:numId="19">
    <w:abstractNumId w:val="34"/>
  </w:num>
  <w:num w:numId="20">
    <w:abstractNumId w:val="3"/>
  </w:num>
  <w:num w:numId="21">
    <w:abstractNumId w:val="22"/>
  </w:num>
  <w:num w:numId="22">
    <w:abstractNumId w:val="33"/>
  </w:num>
  <w:num w:numId="23">
    <w:abstractNumId w:val="24"/>
  </w:num>
  <w:num w:numId="24">
    <w:abstractNumId w:val="15"/>
  </w:num>
  <w:num w:numId="25">
    <w:abstractNumId w:val="19"/>
  </w:num>
  <w:num w:numId="26">
    <w:abstractNumId w:val="16"/>
  </w:num>
  <w:num w:numId="27">
    <w:abstractNumId w:val="2"/>
  </w:num>
  <w:num w:numId="28">
    <w:abstractNumId w:val="31"/>
  </w:num>
  <w:num w:numId="29">
    <w:abstractNumId w:val="27"/>
  </w:num>
  <w:num w:numId="30">
    <w:abstractNumId w:val="28"/>
  </w:num>
  <w:num w:numId="31">
    <w:abstractNumId w:val="7"/>
  </w:num>
  <w:num w:numId="32">
    <w:abstractNumId w:val="20"/>
  </w:num>
  <w:num w:numId="33">
    <w:abstractNumId w:val="0"/>
  </w:num>
  <w:num w:numId="34">
    <w:abstractNumId w:val="11"/>
  </w:num>
  <w:num w:numId="35">
    <w:abstractNumId w:val="4"/>
  </w:num>
  <w:num w:numId="3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0850"/>
    <w:rsid w:val="000151EB"/>
    <w:rsid w:val="000334AA"/>
    <w:rsid w:val="0004424C"/>
    <w:rsid w:val="000545C1"/>
    <w:rsid w:val="00056476"/>
    <w:rsid w:val="00061B11"/>
    <w:rsid w:val="00067919"/>
    <w:rsid w:val="00071069"/>
    <w:rsid w:val="00072CA0"/>
    <w:rsid w:val="00077FC2"/>
    <w:rsid w:val="00081054"/>
    <w:rsid w:val="00083CAD"/>
    <w:rsid w:val="000A0441"/>
    <w:rsid w:val="000A36AA"/>
    <w:rsid w:val="000A4F42"/>
    <w:rsid w:val="000A6E47"/>
    <w:rsid w:val="000B0D1D"/>
    <w:rsid w:val="000B197C"/>
    <w:rsid w:val="000B1FF6"/>
    <w:rsid w:val="000B6990"/>
    <w:rsid w:val="000B74CF"/>
    <w:rsid w:val="000C4902"/>
    <w:rsid w:val="000D0581"/>
    <w:rsid w:val="000E1AAD"/>
    <w:rsid w:val="000E1FB7"/>
    <w:rsid w:val="000E5462"/>
    <w:rsid w:val="001109D8"/>
    <w:rsid w:val="00113BE1"/>
    <w:rsid w:val="00120A08"/>
    <w:rsid w:val="00133E9E"/>
    <w:rsid w:val="0013760A"/>
    <w:rsid w:val="00140A2C"/>
    <w:rsid w:val="001424C1"/>
    <w:rsid w:val="00143B3F"/>
    <w:rsid w:val="00156FC5"/>
    <w:rsid w:val="00175BCA"/>
    <w:rsid w:val="0018499B"/>
    <w:rsid w:val="001867EE"/>
    <w:rsid w:val="0018712E"/>
    <w:rsid w:val="00192493"/>
    <w:rsid w:val="001C54D8"/>
    <w:rsid w:val="001E577A"/>
    <w:rsid w:val="001F7081"/>
    <w:rsid w:val="00200641"/>
    <w:rsid w:val="00200DCF"/>
    <w:rsid w:val="00204EC2"/>
    <w:rsid w:val="00214021"/>
    <w:rsid w:val="0021404A"/>
    <w:rsid w:val="00220F47"/>
    <w:rsid w:val="002501FF"/>
    <w:rsid w:val="00250CA9"/>
    <w:rsid w:val="00253BE3"/>
    <w:rsid w:val="00262781"/>
    <w:rsid w:val="00264D1F"/>
    <w:rsid w:val="002778D3"/>
    <w:rsid w:val="0029204B"/>
    <w:rsid w:val="002975C5"/>
    <w:rsid w:val="002A5B46"/>
    <w:rsid w:val="002C57B9"/>
    <w:rsid w:val="002C64B4"/>
    <w:rsid w:val="002E5B1F"/>
    <w:rsid w:val="002E5F5D"/>
    <w:rsid w:val="002F287E"/>
    <w:rsid w:val="002F3587"/>
    <w:rsid w:val="002F4742"/>
    <w:rsid w:val="003027E9"/>
    <w:rsid w:val="0031137A"/>
    <w:rsid w:val="003406FC"/>
    <w:rsid w:val="00342983"/>
    <w:rsid w:val="00343C02"/>
    <w:rsid w:val="0036303F"/>
    <w:rsid w:val="00364C19"/>
    <w:rsid w:val="003729DD"/>
    <w:rsid w:val="003841F5"/>
    <w:rsid w:val="003C0F22"/>
    <w:rsid w:val="003D0050"/>
    <w:rsid w:val="003E038D"/>
    <w:rsid w:val="003E5647"/>
    <w:rsid w:val="003F448E"/>
    <w:rsid w:val="003F4F41"/>
    <w:rsid w:val="0040147D"/>
    <w:rsid w:val="004047B3"/>
    <w:rsid w:val="004117DD"/>
    <w:rsid w:val="00423F5D"/>
    <w:rsid w:val="00446E92"/>
    <w:rsid w:val="004602E6"/>
    <w:rsid w:val="00463CE5"/>
    <w:rsid w:val="00467B09"/>
    <w:rsid w:val="00471B40"/>
    <w:rsid w:val="00471FD0"/>
    <w:rsid w:val="004729EB"/>
    <w:rsid w:val="00475B1F"/>
    <w:rsid w:val="004842EA"/>
    <w:rsid w:val="00492E2C"/>
    <w:rsid w:val="004A4C9F"/>
    <w:rsid w:val="004A7C73"/>
    <w:rsid w:val="004C168A"/>
    <w:rsid w:val="004C5963"/>
    <w:rsid w:val="004D0861"/>
    <w:rsid w:val="004D26C0"/>
    <w:rsid w:val="004D2C92"/>
    <w:rsid w:val="004D7BE4"/>
    <w:rsid w:val="004E009D"/>
    <w:rsid w:val="004E4D2D"/>
    <w:rsid w:val="004E6578"/>
    <w:rsid w:val="004F3066"/>
    <w:rsid w:val="005013CA"/>
    <w:rsid w:val="00515162"/>
    <w:rsid w:val="00545A58"/>
    <w:rsid w:val="0055029D"/>
    <w:rsid w:val="005743AF"/>
    <w:rsid w:val="00574EA8"/>
    <w:rsid w:val="00577149"/>
    <w:rsid w:val="0058783D"/>
    <w:rsid w:val="0059157D"/>
    <w:rsid w:val="005A5F90"/>
    <w:rsid w:val="005B64D4"/>
    <w:rsid w:val="005B7FAA"/>
    <w:rsid w:val="005D359E"/>
    <w:rsid w:val="005D56D1"/>
    <w:rsid w:val="005D675B"/>
    <w:rsid w:val="005D69B0"/>
    <w:rsid w:val="005D6A35"/>
    <w:rsid w:val="005F29E2"/>
    <w:rsid w:val="00607813"/>
    <w:rsid w:val="00610558"/>
    <w:rsid w:val="006340C1"/>
    <w:rsid w:val="00670E64"/>
    <w:rsid w:val="006722CC"/>
    <w:rsid w:val="0067304F"/>
    <w:rsid w:val="00680E52"/>
    <w:rsid w:val="00681F73"/>
    <w:rsid w:val="006965C2"/>
    <w:rsid w:val="006B7C1B"/>
    <w:rsid w:val="006D07EE"/>
    <w:rsid w:val="006D368E"/>
    <w:rsid w:val="006D7A9C"/>
    <w:rsid w:val="006E5D5B"/>
    <w:rsid w:val="006F1208"/>
    <w:rsid w:val="00704740"/>
    <w:rsid w:val="00710F56"/>
    <w:rsid w:val="007158F1"/>
    <w:rsid w:val="007213BE"/>
    <w:rsid w:val="0072195B"/>
    <w:rsid w:val="007236E9"/>
    <w:rsid w:val="00730398"/>
    <w:rsid w:val="00734A36"/>
    <w:rsid w:val="00781B62"/>
    <w:rsid w:val="00784855"/>
    <w:rsid w:val="007931FB"/>
    <w:rsid w:val="0079322D"/>
    <w:rsid w:val="00796D1D"/>
    <w:rsid w:val="007C7D07"/>
    <w:rsid w:val="007D3750"/>
    <w:rsid w:val="007E31DA"/>
    <w:rsid w:val="00805E98"/>
    <w:rsid w:val="008235B3"/>
    <w:rsid w:val="008245A3"/>
    <w:rsid w:val="00831647"/>
    <w:rsid w:val="008375A8"/>
    <w:rsid w:val="00841D48"/>
    <w:rsid w:val="00846C29"/>
    <w:rsid w:val="00852DC8"/>
    <w:rsid w:val="008575E6"/>
    <w:rsid w:val="008668BC"/>
    <w:rsid w:val="00867991"/>
    <w:rsid w:val="00876ED9"/>
    <w:rsid w:val="00884D83"/>
    <w:rsid w:val="0089133E"/>
    <w:rsid w:val="008A138A"/>
    <w:rsid w:val="008A43D2"/>
    <w:rsid w:val="008B1ACE"/>
    <w:rsid w:val="008B24C1"/>
    <w:rsid w:val="008C15CD"/>
    <w:rsid w:val="008C3085"/>
    <w:rsid w:val="008D2842"/>
    <w:rsid w:val="008D2C06"/>
    <w:rsid w:val="008E4EA6"/>
    <w:rsid w:val="00905298"/>
    <w:rsid w:val="00910137"/>
    <w:rsid w:val="00910910"/>
    <w:rsid w:val="009121CA"/>
    <w:rsid w:val="00915B18"/>
    <w:rsid w:val="009277B5"/>
    <w:rsid w:val="00930A94"/>
    <w:rsid w:val="00934432"/>
    <w:rsid w:val="00935DD9"/>
    <w:rsid w:val="00935DEE"/>
    <w:rsid w:val="00941042"/>
    <w:rsid w:val="0094367B"/>
    <w:rsid w:val="0096521D"/>
    <w:rsid w:val="009671A0"/>
    <w:rsid w:val="00977117"/>
    <w:rsid w:val="00987EAE"/>
    <w:rsid w:val="0099176B"/>
    <w:rsid w:val="009B09BB"/>
    <w:rsid w:val="009C2EB9"/>
    <w:rsid w:val="009C6B35"/>
    <w:rsid w:val="009D6A0A"/>
    <w:rsid w:val="009E5A09"/>
    <w:rsid w:val="00A02731"/>
    <w:rsid w:val="00A05102"/>
    <w:rsid w:val="00A1075D"/>
    <w:rsid w:val="00A14057"/>
    <w:rsid w:val="00A15A7B"/>
    <w:rsid w:val="00A36D91"/>
    <w:rsid w:val="00A40307"/>
    <w:rsid w:val="00A40381"/>
    <w:rsid w:val="00A42273"/>
    <w:rsid w:val="00A460A0"/>
    <w:rsid w:val="00A61548"/>
    <w:rsid w:val="00A661CB"/>
    <w:rsid w:val="00A6741B"/>
    <w:rsid w:val="00A725B4"/>
    <w:rsid w:val="00A73A72"/>
    <w:rsid w:val="00A74F3F"/>
    <w:rsid w:val="00A82AAA"/>
    <w:rsid w:val="00AA22D1"/>
    <w:rsid w:val="00AA6D7A"/>
    <w:rsid w:val="00AB4A6D"/>
    <w:rsid w:val="00AC3824"/>
    <w:rsid w:val="00AE4ECF"/>
    <w:rsid w:val="00AE66B9"/>
    <w:rsid w:val="00AF56CC"/>
    <w:rsid w:val="00B10B43"/>
    <w:rsid w:val="00B12087"/>
    <w:rsid w:val="00B124DA"/>
    <w:rsid w:val="00B33162"/>
    <w:rsid w:val="00B404CD"/>
    <w:rsid w:val="00B40F35"/>
    <w:rsid w:val="00B516C2"/>
    <w:rsid w:val="00B56041"/>
    <w:rsid w:val="00B64151"/>
    <w:rsid w:val="00B64529"/>
    <w:rsid w:val="00B75CC3"/>
    <w:rsid w:val="00B86FA2"/>
    <w:rsid w:val="00B91E90"/>
    <w:rsid w:val="00B95B6C"/>
    <w:rsid w:val="00B97133"/>
    <w:rsid w:val="00B972E1"/>
    <w:rsid w:val="00B973CE"/>
    <w:rsid w:val="00BA7ABC"/>
    <w:rsid w:val="00BB44EE"/>
    <w:rsid w:val="00BD1D10"/>
    <w:rsid w:val="00BE1CE7"/>
    <w:rsid w:val="00BE53E1"/>
    <w:rsid w:val="00BF6713"/>
    <w:rsid w:val="00BF6D71"/>
    <w:rsid w:val="00C0265D"/>
    <w:rsid w:val="00C0577A"/>
    <w:rsid w:val="00C26162"/>
    <w:rsid w:val="00C30C74"/>
    <w:rsid w:val="00C44B09"/>
    <w:rsid w:val="00C469D9"/>
    <w:rsid w:val="00C71356"/>
    <w:rsid w:val="00C80C5D"/>
    <w:rsid w:val="00C9776A"/>
    <w:rsid w:val="00CA4236"/>
    <w:rsid w:val="00CB26D0"/>
    <w:rsid w:val="00CB6EDA"/>
    <w:rsid w:val="00CC31F0"/>
    <w:rsid w:val="00CD02C2"/>
    <w:rsid w:val="00CD1CDF"/>
    <w:rsid w:val="00CD21A4"/>
    <w:rsid w:val="00CD2B4F"/>
    <w:rsid w:val="00CD2EBD"/>
    <w:rsid w:val="00CE0118"/>
    <w:rsid w:val="00CE1032"/>
    <w:rsid w:val="00CE4C79"/>
    <w:rsid w:val="00CF2CF7"/>
    <w:rsid w:val="00D01444"/>
    <w:rsid w:val="00D14241"/>
    <w:rsid w:val="00D279DD"/>
    <w:rsid w:val="00D30DF4"/>
    <w:rsid w:val="00D41863"/>
    <w:rsid w:val="00D5271E"/>
    <w:rsid w:val="00D57028"/>
    <w:rsid w:val="00D81969"/>
    <w:rsid w:val="00D852DC"/>
    <w:rsid w:val="00D9692A"/>
    <w:rsid w:val="00DA72D4"/>
    <w:rsid w:val="00DA7435"/>
    <w:rsid w:val="00DB7DAA"/>
    <w:rsid w:val="00DC39EA"/>
    <w:rsid w:val="00DF62CD"/>
    <w:rsid w:val="00DF78BE"/>
    <w:rsid w:val="00E23E82"/>
    <w:rsid w:val="00E24FDA"/>
    <w:rsid w:val="00E35613"/>
    <w:rsid w:val="00E5295D"/>
    <w:rsid w:val="00E62118"/>
    <w:rsid w:val="00E67A83"/>
    <w:rsid w:val="00E727F0"/>
    <w:rsid w:val="00E8201D"/>
    <w:rsid w:val="00EB07FA"/>
    <w:rsid w:val="00EB1981"/>
    <w:rsid w:val="00EB5720"/>
    <w:rsid w:val="00EB5F43"/>
    <w:rsid w:val="00EB7722"/>
    <w:rsid w:val="00ED4E60"/>
    <w:rsid w:val="00EE59AE"/>
    <w:rsid w:val="00EE6E33"/>
    <w:rsid w:val="00EF06CF"/>
    <w:rsid w:val="00F0038F"/>
    <w:rsid w:val="00F065BB"/>
    <w:rsid w:val="00F14880"/>
    <w:rsid w:val="00F2204E"/>
    <w:rsid w:val="00F47595"/>
    <w:rsid w:val="00F66715"/>
    <w:rsid w:val="00F759C4"/>
    <w:rsid w:val="00F75B4F"/>
    <w:rsid w:val="00FA2D96"/>
    <w:rsid w:val="00FB26F9"/>
    <w:rsid w:val="00FB4868"/>
    <w:rsid w:val="00FC2BB8"/>
    <w:rsid w:val="00FD273C"/>
    <w:rsid w:val="00FD6592"/>
    <w:rsid w:val="00FE42A8"/>
    <w:rsid w:val="00FF0850"/>
    <w:rsid w:val="00FF18B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B37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0F47"/>
  </w:style>
  <w:style w:type="paragraph" w:styleId="Ttulo1">
    <w:name w:val="heading 1"/>
    <w:basedOn w:val="Normal"/>
    <w:next w:val="Normal"/>
    <w:link w:val="Ttulo1Char"/>
    <w:uiPriority w:val="9"/>
    <w:qFormat/>
    <w:rsid w:val="00192493"/>
    <w:pPr>
      <w:keepNext/>
      <w:keepLines/>
      <w:spacing w:before="240" w:after="0"/>
      <w:outlineLvl w:val="0"/>
    </w:pPr>
    <w:rPr>
      <w:rFonts w:ascii="Arial" w:eastAsiaTheme="majorEastAsia" w:hAnsi="Arial" w:cstheme="majorBidi"/>
      <w:b/>
      <w:sz w:val="28"/>
      <w:szCs w:val="32"/>
    </w:rPr>
  </w:style>
  <w:style w:type="paragraph" w:styleId="Ttulo2">
    <w:name w:val="heading 2"/>
    <w:basedOn w:val="Normal"/>
    <w:link w:val="Ttulo2Char"/>
    <w:uiPriority w:val="9"/>
    <w:qFormat/>
    <w:rsid w:val="004E4D2D"/>
    <w:pPr>
      <w:spacing w:before="100" w:beforeAutospacing="1" w:after="100" w:afterAutospacing="1" w:line="240" w:lineRule="auto"/>
      <w:outlineLvl w:val="1"/>
    </w:pPr>
    <w:rPr>
      <w:rFonts w:ascii="Arial" w:eastAsia="Times New Roman" w:hAnsi="Arial" w:cs="Times New Roman"/>
      <w:b/>
      <w:bCs/>
      <w:szCs w:val="36"/>
      <w:lang w:eastAsia="pt-BR"/>
    </w:rPr>
  </w:style>
  <w:style w:type="paragraph" w:styleId="Ttulo3">
    <w:name w:val="heading 3"/>
    <w:basedOn w:val="Normal"/>
    <w:next w:val="Normal"/>
    <w:link w:val="Ttulo3Char"/>
    <w:uiPriority w:val="9"/>
    <w:unhideWhenUsed/>
    <w:qFormat/>
    <w:rsid w:val="00E62118"/>
    <w:pPr>
      <w:keepNext/>
      <w:keepLines/>
      <w:spacing w:before="40" w:after="0"/>
      <w:outlineLvl w:val="2"/>
    </w:pPr>
    <w:rPr>
      <w:rFonts w:eastAsiaTheme="majorEastAsia" w:cstheme="majorBidi"/>
      <w:b/>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C54D8"/>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C54D8"/>
    <w:rPr>
      <w:rFonts w:ascii="Tahoma" w:hAnsi="Tahoma" w:cs="Tahoma"/>
      <w:sz w:val="16"/>
      <w:szCs w:val="16"/>
    </w:rPr>
  </w:style>
  <w:style w:type="paragraph" w:styleId="Cabealho">
    <w:name w:val="header"/>
    <w:basedOn w:val="Normal"/>
    <w:link w:val="CabealhoChar"/>
    <w:uiPriority w:val="99"/>
    <w:unhideWhenUsed/>
    <w:rsid w:val="006722C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722CC"/>
  </w:style>
  <w:style w:type="paragraph" w:styleId="Rodap">
    <w:name w:val="footer"/>
    <w:aliases w:val="Rodapé Char Char"/>
    <w:basedOn w:val="Normal"/>
    <w:link w:val="RodapChar"/>
    <w:uiPriority w:val="99"/>
    <w:unhideWhenUsed/>
    <w:rsid w:val="006722CC"/>
    <w:pPr>
      <w:tabs>
        <w:tab w:val="center" w:pos="4252"/>
        <w:tab w:val="right" w:pos="8504"/>
      </w:tabs>
      <w:spacing w:after="0" w:line="240" w:lineRule="auto"/>
    </w:pPr>
  </w:style>
  <w:style w:type="character" w:customStyle="1" w:styleId="RodapChar">
    <w:name w:val="Rodapé Char"/>
    <w:aliases w:val="Rodapé Char Char Char"/>
    <w:basedOn w:val="Fontepargpadro"/>
    <w:link w:val="Rodap"/>
    <w:uiPriority w:val="99"/>
    <w:rsid w:val="006722CC"/>
  </w:style>
  <w:style w:type="paragraph" w:styleId="PargrafodaLista">
    <w:name w:val="List Paragraph"/>
    <w:aliases w:val="Itemização,PPP 04"/>
    <w:basedOn w:val="Normal"/>
    <w:link w:val="PargrafodaListaChar"/>
    <w:uiPriority w:val="1"/>
    <w:qFormat/>
    <w:rsid w:val="0059157D"/>
    <w:pPr>
      <w:ind w:left="720"/>
      <w:contextualSpacing/>
    </w:pPr>
  </w:style>
  <w:style w:type="paragraph" w:styleId="NormalWeb">
    <w:name w:val="Normal (Web)"/>
    <w:basedOn w:val="Normal"/>
    <w:uiPriority w:val="99"/>
    <w:unhideWhenUsed/>
    <w:rsid w:val="006E5D5B"/>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yperlink">
    <w:name w:val="Hyperlink"/>
    <w:basedOn w:val="Fontepargpadro"/>
    <w:uiPriority w:val="99"/>
    <w:unhideWhenUsed/>
    <w:rsid w:val="006E5D5B"/>
    <w:rPr>
      <w:color w:val="0000FF"/>
      <w:u w:val="single"/>
    </w:rPr>
  </w:style>
  <w:style w:type="character" w:customStyle="1" w:styleId="Ttulo2Char">
    <w:name w:val="Título 2 Char"/>
    <w:basedOn w:val="Fontepargpadro"/>
    <w:link w:val="Ttulo2"/>
    <w:uiPriority w:val="9"/>
    <w:rsid w:val="004E4D2D"/>
    <w:rPr>
      <w:rFonts w:ascii="Arial" w:eastAsia="Times New Roman" w:hAnsi="Arial" w:cs="Times New Roman"/>
      <w:b/>
      <w:bCs/>
      <w:szCs w:val="36"/>
      <w:lang w:eastAsia="pt-BR"/>
    </w:rPr>
  </w:style>
  <w:style w:type="character" w:customStyle="1" w:styleId="mw-headline">
    <w:name w:val="mw-headline"/>
    <w:basedOn w:val="Fontepargpadro"/>
    <w:rsid w:val="006E5D5B"/>
  </w:style>
  <w:style w:type="character" w:customStyle="1" w:styleId="mw-editsection">
    <w:name w:val="mw-editsection"/>
    <w:basedOn w:val="Fontepargpadro"/>
    <w:rsid w:val="006E5D5B"/>
  </w:style>
  <w:style w:type="character" w:customStyle="1" w:styleId="mw-editsection-bracket">
    <w:name w:val="mw-editsection-bracket"/>
    <w:basedOn w:val="Fontepargpadro"/>
    <w:rsid w:val="006E5D5B"/>
  </w:style>
  <w:style w:type="character" w:customStyle="1" w:styleId="mw-editsection-divider">
    <w:name w:val="mw-editsection-divider"/>
    <w:basedOn w:val="Fontepargpadro"/>
    <w:rsid w:val="006E5D5B"/>
  </w:style>
  <w:style w:type="character" w:customStyle="1" w:styleId="Ttulo1Char">
    <w:name w:val="Título 1 Char"/>
    <w:basedOn w:val="Fontepargpadro"/>
    <w:link w:val="Ttulo1"/>
    <w:uiPriority w:val="9"/>
    <w:rsid w:val="00192493"/>
    <w:rPr>
      <w:rFonts w:ascii="Arial" w:eastAsiaTheme="majorEastAsia" w:hAnsi="Arial" w:cstheme="majorBidi"/>
      <w:b/>
      <w:sz w:val="28"/>
      <w:szCs w:val="32"/>
    </w:rPr>
  </w:style>
  <w:style w:type="character" w:customStyle="1" w:styleId="PargrafodaListaChar">
    <w:name w:val="Parágrafo da Lista Char"/>
    <w:aliases w:val="Itemização Char,PPP 04 Char"/>
    <w:link w:val="PargrafodaLista"/>
    <w:uiPriority w:val="1"/>
    <w:rsid w:val="00120A08"/>
  </w:style>
  <w:style w:type="character" w:customStyle="1" w:styleId="Ttulo3Char">
    <w:name w:val="Título 3 Char"/>
    <w:basedOn w:val="Fontepargpadro"/>
    <w:link w:val="Ttulo3"/>
    <w:uiPriority w:val="9"/>
    <w:rsid w:val="00E62118"/>
    <w:rPr>
      <w:rFonts w:eastAsiaTheme="majorEastAsia" w:cstheme="majorBidi"/>
      <w:b/>
      <w:szCs w:val="24"/>
    </w:rPr>
  </w:style>
  <w:style w:type="paragraph" w:styleId="Recuodecorpodetexto">
    <w:name w:val="Body Text Indent"/>
    <w:basedOn w:val="Normal"/>
    <w:link w:val="RecuodecorpodetextoChar"/>
    <w:rsid w:val="00B404CD"/>
    <w:pPr>
      <w:ind w:firstLine="720"/>
      <w:jc w:val="both"/>
    </w:pPr>
    <w:rPr>
      <w:rFonts w:eastAsiaTheme="minorEastAsia"/>
      <w:lang w:eastAsia="pt-BR"/>
    </w:rPr>
  </w:style>
  <w:style w:type="character" w:customStyle="1" w:styleId="RecuodecorpodetextoChar">
    <w:name w:val="Recuo de corpo de texto Char"/>
    <w:basedOn w:val="Fontepargpadro"/>
    <w:link w:val="Recuodecorpodetexto"/>
    <w:rsid w:val="00B404CD"/>
    <w:rPr>
      <w:rFonts w:eastAsiaTheme="minorEastAsia"/>
      <w:lang w:eastAsia="pt-BR"/>
    </w:rPr>
  </w:style>
  <w:style w:type="paragraph" w:styleId="CabealhodoSumrio">
    <w:name w:val="TOC Heading"/>
    <w:basedOn w:val="Ttulo1"/>
    <w:next w:val="Normal"/>
    <w:uiPriority w:val="39"/>
    <w:unhideWhenUsed/>
    <w:qFormat/>
    <w:rsid w:val="00E23E82"/>
    <w:pPr>
      <w:outlineLvl w:val="9"/>
    </w:pPr>
    <w:rPr>
      <w:rFonts w:asciiTheme="majorHAnsi" w:hAnsiTheme="majorHAnsi"/>
      <w:b w:val="0"/>
      <w:color w:val="2F5496" w:themeColor="accent1" w:themeShade="BF"/>
      <w:sz w:val="32"/>
      <w:lang w:eastAsia="pt-BR"/>
    </w:rPr>
  </w:style>
  <w:style w:type="paragraph" w:styleId="Sumrio1">
    <w:name w:val="toc 1"/>
    <w:basedOn w:val="Normal"/>
    <w:next w:val="Normal"/>
    <w:autoRedefine/>
    <w:uiPriority w:val="39"/>
    <w:unhideWhenUsed/>
    <w:rsid w:val="00E23E82"/>
    <w:pPr>
      <w:spacing w:after="100"/>
    </w:pPr>
  </w:style>
  <w:style w:type="paragraph" w:styleId="Sumrio2">
    <w:name w:val="toc 2"/>
    <w:basedOn w:val="Normal"/>
    <w:next w:val="Normal"/>
    <w:autoRedefine/>
    <w:uiPriority w:val="39"/>
    <w:unhideWhenUsed/>
    <w:rsid w:val="00E23E82"/>
    <w:pPr>
      <w:spacing w:after="100"/>
      <w:ind w:left="220"/>
    </w:pPr>
  </w:style>
  <w:style w:type="paragraph" w:styleId="Sumrio3">
    <w:name w:val="toc 3"/>
    <w:basedOn w:val="Normal"/>
    <w:next w:val="Normal"/>
    <w:autoRedefine/>
    <w:uiPriority w:val="39"/>
    <w:unhideWhenUsed/>
    <w:rsid w:val="00E23E82"/>
    <w:pPr>
      <w:spacing w:after="100"/>
      <w:ind w:left="440"/>
    </w:pPr>
  </w:style>
  <w:style w:type="paragraph" w:styleId="Textoembloco">
    <w:name w:val="Block Text"/>
    <w:basedOn w:val="Normal"/>
    <w:rsid w:val="009C6B35"/>
    <w:pPr>
      <w:spacing w:after="0" w:line="220" w:lineRule="exact"/>
      <w:ind w:left="-993" w:right="2850"/>
      <w:jc w:val="center"/>
    </w:pPr>
    <w:rPr>
      <w:rFonts w:ascii="Human521 a" w:eastAsia="Times New Roman" w:hAnsi="Human521 a" w:cs="Times New Roman"/>
      <w:color w:val="000000"/>
      <w:sz w:val="24"/>
      <w:szCs w:val="20"/>
      <w:lang w:val="en-US"/>
    </w:rPr>
  </w:style>
  <w:style w:type="character" w:customStyle="1" w:styleId="fontstyle01">
    <w:name w:val="fontstyle01"/>
    <w:rsid w:val="00935DD9"/>
    <w:rPr>
      <w:rFonts w:ascii="IrisUPC-Identity-H" w:hAnsi="IrisUPC-Identity-H" w:hint="default"/>
      <w:b w:val="0"/>
      <w:bCs w:val="0"/>
      <w:i w:val="0"/>
      <w:iCs w:val="0"/>
      <w:color w:val="000000"/>
      <w:sz w:val="18"/>
      <w:szCs w:val="18"/>
    </w:rPr>
  </w:style>
  <w:style w:type="character" w:customStyle="1" w:styleId="collapsebutton">
    <w:name w:val="collapsebutton"/>
    <w:basedOn w:val="Fontepargpadro"/>
    <w:rsid w:val="00056476"/>
  </w:style>
  <w:style w:type="paragraph" w:styleId="Corpodetexto">
    <w:name w:val="Body Text"/>
    <w:basedOn w:val="Normal"/>
    <w:link w:val="CorpodetextoChar"/>
    <w:uiPriority w:val="99"/>
    <w:semiHidden/>
    <w:unhideWhenUsed/>
    <w:rsid w:val="00BF6713"/>
    <w:pPr>
      <w:spacing w:after="120"/>
    </w:pPr>
  </w:style>
  <w:style w:type="character" w:customStyle="1" w:styleId="CorpodetextoChar">
    <w:name w:val="Corpo de texto Char"/>
    <w:basedOn w:val="Fontepargpadro"/>
    <w:link w:val="Corpodetexto"/>
    <w:uiPriority w:val="99"/>
    <w:semiHidden/>
    <w:rsid w:val="00BF6713"/>
  </w:style>
  <w:style w:type="character" w:styleId="Refdecomentrio">
    <w:name w:val="annotation reference"/>
    <w:basedOn w:val="Fontepargpadro"/>
    <w:uiPriority w:val="99"/>
    <w:semiHidden/>
    <w:unhideWhenUsed/>
    <w:rsid w:val="00CB6EDA"/>
    <w:rPr>
      <w:sz w:val="16"/>
      <w:szCs w:val="16"/>
    </w:rPr>
  </w:style>
  <w:style w:type="paragraph" w:styleId="Textodecomentrio">
    <w:name w:val="annotation text"/>
    <w:basedOn w:val="Normal"/>
    <w:link w:val="TextodecomentrioChar"/>
    <w:uiPriority w:val="99"/>
    <w:semiHidden/>
    <w:unhideWhenUsed/>
    <w:rsid w:val="00CB6EDA"/>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B6EDA"/>
    <w:rPr>
      <w:sz w:val="20"/>
      <w:szCs w:val="20"/>
    </w:rPr>
  </w:style>
  <w:style w:type="paragraph" w:styleId="Assuntodocomentrio">
    <w:name w:val="annotation subject"/>
    <w:basedOn w:val="Textodecomentrio"/>
    <w:next w:val="Textodecomentrio"/>
    <w:link w:val="AssuntodocomentrioChar"/>
    <w:uiPriority w:val="99"/>
    <w:semiHidden/>
    <w:unhideWhenUsed/>
    <w:rsid w:val="00CB6EDA"/>
    <w:rPr>
      <w:b/>
      <w:bCs/>
    </w:rPr>
  </w:style>
  <w:style w:type="character" w:customStyle="1" w:styleId="AssuntodocomentrioChar">
    <w:name w:val="Assunto do comentário Char"/>
    <w:basedOn w:val="TextodecomentrioChar"/>
    <w:link w:val="Assuntodocomentrio"/>
    <w:uiPriority w:val="99"/>
    <w:semiHidden/>
    <w:rsid w:val="00CB6EDA"/>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0F47"/>
  </w:style>
  <w:style w:type="paragraph" w:styleId="Ttulo1">
    <w:name w:val="heading 1"/>
    <w:basedOn w:val="Normal"/>
    <w:next w:val="Normal"/>
    <w:link w:val="Ttulo1Char"/>
    <w:uiPriority w:val="9"/>
    <w:qFormat/>
    <w:rsid w:val="00192493"/>
    <w:pPr>
      <w:keepNext/>
      <w:keepLines/>
      <w:spacing w:before="240" w:after="0"/>
      <w:outlineLvl w:val="0"/>
    </w:pPr>
    <w:rPr>
      <w:rFonts w:ascii="Arial" w:eastAsiaTheme="majorEastAsia" w:hAnsi="Arial" w:cstheme="majorBidi"/>
      <w:b/>
      <w:sz w:val="28"/>
      <w:szCs w:val="32"/>
    </w:rPr>
  </w:style>
  <w:style w:type="paragraph" w:styleId="Ttulo2">
    <w:name w:val="heading 2"/>
    <w:basedOn w:val="Normal"/>
    <w:link w:val="Ttulo2Char"/>
    <w:uiPriority w:val="9"/>
    <w:qFormat/>
    <w:rsid w:val="004E4D2D"/>
    <w:pPr>
      <w:spacing w:before="100" w:beforeAutospacing="1" w:after="100" w:afterAutospacing="1" w:line="240" w:lineRule="auto"/>
      <w:outlineLvl w:val="1"/>
    </w:pPr>
    <w:rPr>
      <w:rFonts w:ascii="Arial" w:eastAsia="Times New Roman" w:hAnsi="Arial" w:cs="Times New Roman"/>
      <w:b/>
      <w:bCs/>
      <w:szCs w:val="36"/>
      <w:lang w:eastAsia="pt-BR"/>
    </w:rPr>
  </w:style>
  <w:style w:type="paragraph" w:styleId="Ttulo3">
    <w:name w:val="heading 3"/>
    <w:basedOn w:val="Normal"/>
    <w:next w:val="Normal"/>
    <w:link w:val="Ttulo3Char"/>
    <w:uiPriority w:val="9"/>
    <w:unhideWhenUsed/>
    <w:qFormat/>
    <w:rsid w:val="00E62118"/>
    <w:pPr>
      <w:keepNext/>
      <w:keepLines/>
      <w:spacing w:before="40" w:after="0"/>
      <w:outlineLvl w:val="2"/>
    </w:pPr>
    <w:rPr>
      <w:rFonts w:eastAsiaTheme="majorEastAsia" w:cstheme="majorBidi"/>
      <w:b/>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C54D8"/>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C54D8"/>
    <w:rPr>
      <w:rFonts w:ascii="Tahoma" w:hAnsi="Tahoma" w:cs="Tahoma"/>
      <w:sz w:val="16"/>
      <w:szCs w:val="16"/>
    </w:rPr>
  </w:style>
  <w:style w:type="paragraph" w:styleId="Cabealho">
    <w:name w:val="header"/>
    <w:basedOn w:val="Normal"/>
    <w:link w:val="CabealhoChar"/>
    <w:uiPriority w:val="99"/>
    <w:unhideWhenUsed/>
    <w:rsid w:val="006722C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722CC"/>
  </w:style>
  <w:style w:type="paragraph" w:styleId="Rodap">
    <w:name w:val="footer"/>
    <w:aliases w:val="Rodapé Char Char"/>
    <w:basedOn w:val="Normal"/>
    <w:link w:val="RodapChar"/>
    <w:uiPriority w:val="99"/>
    <w:unhideWhenUsed/>
    <w:rsid w:val="006722CC"/>
    <w:pPr>
      <w:tabs>
        <w:tab w:val="center" w:pos="4252"/>
        <w:tab w:val="right" w:pos="8504"/>
      </w:tabs>
      <w:spacing w:after="0" w:line="240" w:lineRule="auto"/>
    </w:pPr>
  </w:style>
  <w:style w:type="character" w:customStyle="1" w:styleId="RodapChar">
    <w:name w:val="Rodapé Char"/>
    <w:aliases w:val="Rodapé Char Char Char"/>
    <w:basedOn w:val="Fontepargpadro"/>
    <w:link w:val="Rodap"/>
    <w:uiPriority w:val="99"/>
    <w:rsid w:val="006722CC"/>
  </w:style>
  <w:style w:type="paragraph" w:styleId="PargrafodaLista">
    <w:name w:val="List Paragraph"/>
    <w:aliases w:val="Itemização,PPP 04"/>
    <w:basedOn w:val="Normal"/>
    <w:link w:val="PargrafodaListaChar"/>
    <w:uiPriority w:val="1"/>
    <w:qFormat/>
    <w:rsid w:val="0059157D"/>
    <w:pPr>
      <w:ind w:left="720"/>
      <w:contextualSpacing/>
    </w:pPr>
  </w:style>
  <w:style w:type="paragraph" w:styleId="NormalWeb">
    <w:name w:val="Normal (Web)"/>
    <w:basedOn w:val="Normal"/>
    <w:uiPriority w:val="99"/>
    <w:unhideWhenUsed/>
    <w:rsid w:val="006E5D5B"/>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yperlink">
    <w:name w:val="Hyperlink"/>
    <w:basedOn w:val="Fontepargpadro"/>
    <w:uiPriority w:val="99"/>
    <w:unhideWhenUsed/>
    <w:rsid w:val="006E5D5B"/>
    <w:rPr>
      <w:color w:val="0000FF"/>
      <w:u w:val="single"/>
    </w:rPr>
  </w:style>
  <w:style w:type="character" w:customStyle="1" w:styleId="Ttulo2Char">
    <w:name w:val="Título 2 Char"/>
    <w:basedOn w:val="Fontepargpadro"/>
    <w:link w:val="Ttulo2"/>
    <w:uiPriority w:val="9"/>
    <w:rsid w:val="004E4D2D"/>
    <w:rPr>
      <w:rFonts w:ascii="Arial" w:eastAsia="Times New Roman" w:hAnsi="Arial" w:cs="Times New Roman"/>
      <w:b/>
      <w:bCs/>
      <w:szCs w:val="36"/>
      <w:lang w:eastAsia="pt-BR"/>
    </w:rPr>
  </w:style>
  <w:style w:type="character" w:customStyle="1" w:styleId="mw-headline">
    <w:name w:val="mw-headline"/>
    <w:basedOn w:val="Fontepargpadro"/>
    <w:rsid w:val="006E5D5B"/>
  </w:style>
  <w:style w:type="character" w:customStyle="1" w:styleId="mw-editsection">
    <w:name w:val="mw-editsection"/>
    <w:basedOn w:val="Fontepargpadro"/>
    <w:rsid w:val="006E5D5B"/>
  </w:style>
  <w:style w:type="character" w:customStyle="1" w:styleId="mw-editsection-bracket">
    <w:name w:val="mw-editsection-bracket"/>
    <w:basedOn w:val="Fontepargpadro"/>
    <w:rsid w:val="006E5D5B"/>
  </w:style>
  <w:style w:type="character" w:customStyle="1" w:styleId="mw-editsection-divider">
    <w:name w:val="mw-editsection-divider"/>
    <w:basedOn w:val="Fontepargpadro"/>
    <w:rsid w:val="006E5D5B"/>
  </w:style>
  <w:style w:type="character" w:customStyle="1" w:styleId="Ttulo1Char">
    <w:name w:val="Título 1 Char"/>
    <w:basedOn w:val="Fontepargpadro"/>
    <w:link w:val="Ttulo1"/>
    <w:uiPriority w:val="9"/>
    <w:rsid w:val="00192493"/>
    <w:rPr>
      <w:rFonts w:ascii="Arial" w:eastAsiaTheme="majorEastAsia" w:hAnsi="Arial" w:cstheme="majorBidi"/>
      <w:b/>
      <w:sz w:val="28"/>
      <w:szCs w:val="32"/>
    </w:rPr>
  </w:style>
  <w:style w:type="character" w:customStyle="1" w:styleId="PargrafodaListaChar">
    <w:name w:val="Parágrafo da Lista Char"/>
    <w:aliases w:val="Itemização Char,PPP 04 Char"/>
    <w:link w:val="PargrafodaLista"/>
    <w:uiPriority w:val="1"/>
    <w:rsid w:val="00120A08"/>
  </w:style>
  <w:style w:type="character" w:customStyle="1" w:styleId="Ttulo3Char">
    <w:name w:val="Título 3 Char"/>
    <w:basedOn w:val="Fontepargpadro"/>
    <w:link w:val="Ttulo3"/>
    <w:uiPriority w:val="9"/>
    <w:rsid w:val="00E62118"/>
    <w:rPr>
      <w:rFonts w:eastAsiaTheme="majorEastAsia" w:cstheme="majorBidi"/>
      <w:b/>
      <w:szCs w:val="24"/>
    </w:rPr>
  </w:style>
  <w:style w:type="paragraph" w:styleId="Recuodecorpodetexto">
    <w:name w:val="Body Text Indent"/>
    <w:basedOn w:val="Normal"/>
    <w:link w:val="RecuodecorpodetextoChar"/>
    <w:rsid w:val="00B404CD"/>
    <w:pPr>
      <w:ind w:firstLine="720"/>
      <w:jc w:val="both"/>
    </w:pPr>
    <w:rPr>
      <w:rFonts w:eastAsiaTheme="minorEastAsia"/>
      <w:lang w:eastAsia="pt-BR"/>
    </w:rPr>
  </w:style>
  <w:style w:type="character" w:customStyle="1" w:styleId="RecuodecorpodetextoChar">
    <w:name w:val="Recuo de corpo de texto Char"/>
    <w:basedOn w:val="Fontepargpadro"/>
    <w:link w:val="Recuodecorpodetexto"/>
    <w:rsid w:val="00B404CD"/>
    <w:rPr>
      <w:rFonts w:eastAsiaTheme="minorEastAsia"/>
      <w:lang w:eastAsia="pt-BR"/>
    </w:rPr>
  </w:style>
  <w:style w:type="paragraph" w:styleId="CabealhodoSumrio">
    <w:name w:val="TOC Heading"/>
    <w:basedOn w:val="Ttulo1"/>
    <w:next w:val="Normal"/>
    <w:uiPriority w:val="39"/>
    <w:unhideWhenUsed/>
    <w:qFormat/>
    <w:rsid w:val="00E23E82"/>
    <w:pPr>
      <w:outlineLvl w:val="9"/>
    </w:pPr>
    <w:rPr>
      <w:rFonts w:asciiTheme="majorHAnsi" w:hAnsiTheme="majorHAnsi"/>
      <w:b w:val="0"/>
      <w:color w:val="2F5496" w:themeColor="accent1" w:themeShade="BF"/>
      <w:sz w:val="32"/>
      <w:lang w:eastAsia="pt-BR"/>
    </w:rPr>
  </w:style>
  <w:style w:type="paragraph" w:styleId="Sumrio1">
    <w:name w:val="toc 1"/>
    <w:basedOn w:val="Normal"/>
    <w:next w:val="Normal"/>
    <w:autoRedefine/>
    <w:uiPriority w:val="39"/>
    <w:unhideWhenUsed/>
    <w:rsid w:val="00E23E82"/>
    <w:pPr>
      <w:spacing w:after="100"/>
    </w:pPr>
  </w:style>
  <w:style w:type="paragraph" w:styleId="Sumrio2">
    <w:name w:val="toc 2"/>
    <w:basedOn w:val="Normal"/>
    <w:next w:val="Normal"/>
    <w:autoRedefine/>
    <w:uiPriority w:val="39"/>
    <w:unhideWhenUsed/>
    <w:rsid w:val="00E23E82"/>
    <w:pPr>
      <w:spacing w:after="100"/>
      <w:ind w:left="220"/>
    </w:pPr>
  </w:style>
  <w:style w:type="paragraph" w:styleId="Sumrio3">
    <w:name w:val="toc 3"/>
    <w:basedOn w:val="Normal"/>
    <w:next w:val="Normal"/>
    <w:autoRedefine/>
    <w:uiPriority w:val="39"/>
    <w:unhideWhenUsed/>
    <w:rsid w:val="00E23E82"/>
    <w:pPr>
      <w:spacing w:after="100"/>
      <w:ind w:left="440"/>
    </w:pPr>
  </w:style>
  <w:style w:type="paragraph" w:styleId="Textoembloco">
    <w:name w:val="Block Text"/>
    <w:basedOn w:val="Normal"/>
    <w:rsid w:val="009C6B35"/>
    <w:pPr>
      <w:spacing w:after="0" w:line="220" w:lineRule="exact"/>
      <w:ind w:left="-993" w:right="2850"/>
      <w:jc w:val="center"/>
    </w:pPr>
    <w:rPr>
      <w:rFonts w:ascii="Human521 a" w:eastAsia="Times New Roman" w:hAnsi="Human521 a" w:cs="Times New Roman"/>
      <w:color w:val="000000"/>
      <w:sz w:val="24"/>
      <w:szCs w:val="20"/>
      <w:lang w:val="en-US"/>
    </w:rPr>
  </w:style>
  <w:style w:type="character" w:customStyle="1" w:styleId="fontstyle01">
    <w:name w:val="fontstyle01"/>
    <w:rsid w:val="00935DD9"/>
    <w:rPr>
      <w:rFonts w:ascii="IrisUPC-Identity-H" w:hAnsi="IrisUPC-Identity-H" w:hint="default"/>
      <w:b w:val="0"/>
      <w:bCs w:val="0"/>
      <w:i w:val="0"/>
      <w:iCs w:val="0"/>
      <w:color w:val="000000"/>
      <w:sz w:val="18"/>
      <w:szCs w:val="18"/>
    </w:rPr>
  </w:style>
  <w:style w:type="character" w:customStyle="1" w:styleId="collapsebutton">
    <w:name w:val="collapsebutton"/>
    <w:basedOn w:val="Fontepargpadro"/>
    <w:rsid w:val="00056476"/>
  </w:style>
  <w:style w:type="paragraph" w:styleId="Corpodetexto">
    <w:name w:val="Body Text"/>
    <w:basedOn w:val="Normal"/>
    <w:link w:val="CorpodetextoChar"/>
    <w:uiPriority w:val="99"/>
    <w:semiHidden/>
    <w:unhideWhenUsed/>
    <w:rsid w:val="00BF6713"/>
    <w:pPr>
      <w:spacing w:after="120"/>
    </w:pPr>
  </w:style>
  <w:style w:type="character" w:customStyle="1" w:styleId="CorpodetextoChar">
    <w:name w:val="Corpo de texto Char"/>
    <w:basedOn w:val="Fontepargpadro"/>
    <w:link w:val="Corpodetexto"/>
    <w:uiPriority w:val="99"/>
    <w:semiHidden/>
    <w:rsid w:val="00BF6713"/>
  </w:style>
  <w:style w:type="character" w:styleId="Refdecomentrio">
    <w:name w:val="annotation reference"/>
    <w:basedOn w:val="Fontepargpadro"/>
    <w:uiPriority w:val="99"/>
    <w:semiHidden/>
    <w:unhideWhenUsed/>
    <w:rsid w:val="00CB6EDA"/>
    <w:rPr>
      <w:sz w:val="16"/>
      <w:szCs w:val="16"/>
    </w:rPr>
  </w:style>
  <w:style w:type="paragraph" w:styleId="Textodecomentrio">
    <w:name w:val="annotation text"/>
    <w:basedOn w:val="Normal"/>
    <w:link w:val="TextodecomentrioChar"/>
    <w:uiPriority w:val="99"/>
    <w:semiHidden/>
    <w:unhideWhenUsed/>
    <w:rsid w:val="00CB6EDA"/>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B6EDA"/>
    <w:rPr>
      <w:sz w:val="20"/>
      <w:szCs w:val="20"/>
    </w:rPr>
  </w:style>
  <w:style w:type="paragraph" w:styleId="Assuntodocomentrio">
    <w:name w:val="annotation subject"/>
    <w:basedOn w:val="Textodecomentrio"/>
    <w:next w:val="Textodecomentrio"/>
    <w:link w:val="AssuntodocomentrioChar"/>
    <w:uiPriority w:val="99"/>
    <w:semiHidden/>
    <w:unhideWhenUsed/>
    <w:rsid w:val="00CB6EDA"/>
    <w:rPr>
      <w:b/>
      <w:bCs/>
    </w:rPr>
  </w:style>
  <w:style w:type="character" w:customStyle="1" w:styleId="AssuntodocomentrioChar">
    <w:name w:val="Assunto do comentário Char"/>
    <w:basedOn w:val="TextodecomentrioChar"/>
    <w:link w:val="Assuntodocomentrio"/>
    <w:uiPriority w:val="99"/>
    <w:semiHidden/>
    <w:rsid w:val="00CB6ED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112925">
      <w:bodyDiv w:val="1"/>
      <w:marLeft w:val="0"/>
      <w:marRight w:val="0"/>
      <w:marTop w:val="0"/>
      <w:marBottom w:val="0"/>
      <w:divBdr>
        <w:top w:val="none" w:sz="0" w:space="0" w:color="auto"/>
        <w:left w:val="none" w:sz="0" w:space="0" w:color="auto"/>
        <w:bottom w:val="none" w:sz="0" w:space="0" w:color="auto"/>
        <w:right w:val="none" w:sz="0" w:space="0" w:color="auto"/>
      </w:divBdr>
    </w:div>
    <w:div w:id="154344618">
      <w:bodyDiv w:val="1"/>
      <w:marLeft w:val="0"/>
      <w:marRight w:val="0"/>
      <w:marTop w:val="0"/>
      <w:marBottom w:val="0"/>
      <w:divBdr>
        <w:top w:val="none" w:sz="0" w:space="0" w:color="auto"/>
        <w:left w:val="none" w:sz="0" w:space="0" w:color="auto"/>
        <w:bottom w:val="none" w:sz="0" w:space="0" w:color="auto"/>
        <w:right w:val="none" w:sz="0" w:space="0" w:color="auto"/>
      </w:divBdr>
    </w:div>
    <w:div w:id="172189260">
      <w:bodyDiv w:val="1"/>
      <w:marLeft w:val="0"/>
      <w:marRight w:val="0"/>
      <w:marTop w:val="0"/>
      <w:marBottom w:val="0"/>
      <w:divBdr>
        <w:top w:val="none" w:sz="0" w:space="0" w:color="auto"/>
        <w:left w:val="none" w:sz="0" w:space="0" w:color="auto"/>
        <w:bottom w:val="none" w:sz="0" w:space="0" w:color="auto"/>
        <w:right w:val="none" w:sz="0" w:space="0" w:color="auto"/>
      </w:divBdr>
    </w:div>
    <w:div w:id="200631903">
      <w:bodyDiv w:val="1"/>
      <w:marLeft w:val="0"/>
      <w:marRight w:val="0"/>
      <w:marTop w:val="0"/>
      <w:marBottom w:val="0"/>
      <w:divBdr>
        <w:top w:val="none" w:sz="0" w:space="0" w:color="auto"/>
        <w:left w:val="none" w:sz="0" w:space="0" w:color="auto"/>
        <w:bottom w:val="none" w:sz="0" w:space="0" w:color="auto"/>
        <w:right w:val="none" w:sz="0" w:space="0" w:color="auto"/>
      </w:divBdr>
    </w:div>
    <w:div w:id="202791638">
      <w:bodyDiv w:val="1"/>
      <w:marLeft w:val="0"/>
      <w:marRight w:val="0"/>
      <w:marTop w:val="0"/>
      <w:marBottom w:val="0"/>
      <w:divBdr>
        <w:top w:val="none" w:sz="0" w:space="0" w:color="auto"/>
        <w:left w:val="none" w:sz="0" w:space="0" w:color="auto"/>
        <w:bottom w:val="none" w:sz="0" w:space="0" w:color="auto"/>
        <w:right w:val="none" w:sz="0" w:space="0" w:color="auto"/>
      </w:divBdr>
    </w:div>
    <w:div w:id="218632255">
      <w:bodyDiv w:val="1"/>
      <w:marLeft w:val="0"/>
      <w:marRight w:val="0"/>
      <w:marTop w:val="0"/>
      <w:marBottom w:val="0"/>
      <w:divBdr>
        <w:top w:val="none" w:sz="0" w:space="0" w:color="auto"/>
        <w:left w:val="none" w:sz="0" w:space="0" w:color="auto"/>
        <w:bottom w:val="none" w:sz="0" w:space="0" w:color="auto"/>
        <w:right w:val="none" w:sz="0" w:space="0" w:color="auto"/>
      </w:divBdr>
    </w:div>
    <w:div w:id="247348278">
      <w:bodyDiv w:val="1"/>
      <w:marLeft w:val="0"/>
      <w:marRight w:val="0"/>
      <w:marTop w:val="0"/>
      <w:marBottom w:val="0"/>
      <w:divBdr>
        <w:top w:val="none" w:sz="0" w:space="0" w:color="auto"/>
        <w:left w:val="none" w:sz="0" w:space="0" w:color="auto"/>
        <w:bottom w:val="none" w:sz="0" w:space="0" w:color="auto"/>
        <w:right w:val="none" w:sz="0" w:space="0" w:color="auto"/>
      </w:divBdr>
    </w:div>
    <w:div w:id="318966652">
      <w:bodyDiv w:val="1"/>
      <w:marLeft w:val="0"/>
      <w:marRight w:val="0"/>
      <w:marTop w:val="0"/>
      <w:marBottom w:val="0"/>
      <w:divBdr>
        <w:top w:val="none" w:sz="0" w:space="0" w:color="auto"/>
        <w:left w:val="none" w:sz="0" w:space="0" w:color="auto"/>
        <w:bottom w:val="none" w:sz="0" w:space="0" w:color="auto"/>
        <w:right w:val="none" w:sz="0" w:space="0" w:color="auto"/>
      </w:divBdr>
    </w:div>
    <w:div w:id="346102594">
      <w:bodyDiv w:val="1"/>
      <w:marLeft w:val="0"/>
      <w:marRight w:val="0"/>
      <w:marTop w:val="0"/>
      <w:marBottom w:val="0"/>
      <w:divBdr>
        <w:top w:val="none" w:sz="0" w:space="0" w:color="auto"/>
        <w:left w:val="none" w:sz="0" w:space="0" w:color="auto"/>
        <w:bottom w:val="none" w:sz="0" w:space="0" w:color="auto"/>
        <w:right w:val="none" w:sz="0" w:space="0" w:color="auto"/>
      </w:divBdr>
    </w:div>
    <w:div w:id="356658141">
      <w:bodyDiv w:val="1"/>
      <w:marLeft w:val="0"/>
      <w:marRight w:val="0"/>
      <w:marTop w:val="0"/>
      <w:marBottom w:val="0"/>
      <w:divBdr>
        <w:top w:val="none" w:sz="0" w:space="0" w:color="auto"/>
        <w:left w:val="none" w:sz="0" w:space="0" w:color="auto"/>
        <w:bottom w:val="none" w:sz="0" w:space="0" w:color="auto"/>
        <w:right w:val="none" w:sz="0" w:space="0" w:color="auto"/>
      </w:divBdr>
    </w:div>
    <w:div w:id="381441379">
      <w:bodyDiv w:val="1"/>
      <w:marLeft w:val="0"/>
      <w:marRight w:val="0"/>
      <w:marTop w:val="0"/>
      <w:marBottom w:val="0"/>
      <w:divBdr>
        <w:top w:val="none" w:sz="0" w:space="0" w:color="auto"/>
        <w:left w:val="none" w:sz="0" w:space="0" w:color="auto"/>
        <w:bottom w:val="none" w:sz="0" w:space="0" w:color="auto"/>
        <w:right w:val="none" w:sz="0" w:space="0" w:color="auto"/>
      </w:divBdr>
    </w:div>
    <w:div w:id="415246378">
      <w:bodyDiv w:val="1"/>
      <w:marLeft w:val="0"/>
      <w:marRight w:val="0"/>
      <w:marTop w:val="0"/>
      <w:marBottom w:val="0"/>
      <w:divBdr>
        <w:top w:val="none" w:sz="0" w:space="0" w:color="auto"/>
        <w:left w:val="none" w:sz="0" w:space="0" w:color="auto"/>
        <w:bottom w:val="none" w:sz="0" w:space="0" w:color="auto"/>
        <w:right w:val="none" w:sz="0" w:space="0" w:color="auto"/>
      </w:divBdr>
    </w:div>
    <w:div w:id="426120651">
      <w:bodyDiv w:val="1"/>
      <w:marLeft w:val="0"/>
      <w:marRight w:val="0"/>
      <w:marTop w:val="0"/>
      <w:marBottom w:val="0"/>
      <w:divBdr>
        <w:top w:val="none" w:sz="0" w:space="0" w:color="auto"/>
        <w:left w:val="none" w:sz="0" w:space="0" w:color="auto"/>
        <w:bottom w:val="none" w:sz="0" w:space="0" w:color="auto"/>
        <w:right w:val="none" w:sz="0" w:space="0" w:color="auto"/>
      </w:divBdr>
    </w:div>
    <w:div w:id="447236833">
      <w:bodyDiv w:val="1"/>
      <w:marLeft w:val="0"/>
      <w:marRight w:val="0"/>
      <w:marTop w:val="0"/>
      <w:marBottom w:val="0"/>
      <w:divBdr>
        <w:top w:val="none" w:sz="0" w:space="0" w:color="auto"/>
        <w:left w:val="none" w:sz="0" w:space="0" w:color="auto"/>
        <w:bottom w:val="none" w:sz="0" w:space="0" w:color="auto"/>
        <w:right w:val="none" w:sz="0" w:space="0" w:color="auto"/>
      </w:divBdr>
    </w:div>
    <w:div w:id="470443494">
      <w:bodyDiv w:val="1"/>
      <w:marLeft w:val="0"/>
      <w:marRight w:val="0"/>
      <w:marTop w:val="0"/>
      <w:marBottom w:val="0"/>
      <w:divBdr>
        <w:top w:val="none" w:sz="0" w:space="0" w:color="auto"/>
        <w:left w:val="none" w:sz="0" w:space="0" w:color="auto"/>
        <w:bottom w:val="none" w:sz="0" w:space="0" w:color="auto"/>
        <w:right w:val="none" w:sz="0" w:space="0" w:color="auto"/>
      </w:divBdr>
    </w:div>
    <w:div w:id="475951423">
      <w:bodyDiv w:val="1"/>
      <w:marLeft w:val="0"/>
      <w:marRight w:val="0"/>
      <w:marTop w:val="0"/>
      <w:marBottom w:val="0"/>
      <w:divBdr>
        <w:top w:val="none" w:sz="0" w:space="0" w:color="auto"/>
        <w:left w:val="none" w:sz="0" w:space="0" w:color="auto"/>
        <w:bottom w:val="none" w:sz="0" w:space="0" w:color="auto"/>
        <w:right w:val="none" w:sz="0" w:space="0" w:color="auto"/>
      </w:divBdr>
    </w:div>
    <w:div w:id="536358885">
      <w:bodyDiv w:val="1"/>
      <w:marLeft w:val="0"/>
      <w:marRight w:val="0"/>
      <w:marTop w:val="0"/>
      <w:marBottom w:val="0"/>
      <w:divBdr>
        <w:top w:val="none" w:sz="0" w:space="0" w:color="auto"/>
        <w:left w:val="none" w:sz="0" w:space="0" w:color="auto"/>
        <w:bottom w:val="none" w:sz="0" w:space="0" w:color="auto"/>
        <w:right w:val="none" w:sz="0" w:space="0" w:color="auto"/>
      </w:divBdr>
    </w:div>
    <w:div w:id="545138645">
      <w:bodyDiv w:val="1"/>
      <w:marLeft w:val="0"/>
      <w:marRight w:val="0"/>
      <w:marTop w:val="0"/>
      <w:marBottom w:val="0"/>
      <w:divBdr>
        <w:top w:val="none" w:sz="0" w:space="0" w:color="auto"/>
        <w:left w:val="none" w:sz="0" w:space="0" w:color="auto"/>
        <w:bottom w:val="none" w:sz="0" w:space="0" w:color="auto"/>
        <w:right w:val="none" w:sz="0" w:space="0" w:color="auto"/>
      </w:divBdr>
    </w:div>
    <w:div w:id="583345885">
      <w:bodyDiv w:val="1"/>
      <w:marLeft w:val="0"/>
      <w:marRight w:val="0"/>
      <w:marTop w:val="0"/>
      <w:marBottom w:val="0"/>
      <w:divBdr>
        <w:top w:val="none" w:sz="0" w:space="0" w:color="auto"/>
        <w:left w:val="none" w:sz="0" w:space="0" w:color="auto"/>
        <w:bottom w:val="none" w:sz="0" w:space="0" w:color="auto"/>
        <w:right w:val="none" w:sz="0" w:space="0" w:color="auto"/>
      </w:divBdr>
    </w:div>
    <w:div w:id="648948406">
      <w:bodyDiv w:val="1"/>
      <w:marLeft w:val="0"/>
      <w:marRight w:val="0"/>
      <w:marTop w:val="0"/>
      <w:marBottom w:val="0"/>
      <w:divBdr>
        <w:top w:val="none" w:sz="0" w:space="0" w:color="auto"/>
        <w:left w:val="none" w:sz="0" w:space="0" w:color="auto"/>
        <w:bottom w:val="none" w:sz="0" w:space="0" w:color="auto"/>
        <w:right w:val="none" w:sz="0" w:space="0" w:color="auto"/>
      </w:divBdr>
    </w:div>
    <w:div w:id="658271888">
      <w:bodyDiv w:val="1"/>
      <w:marLeft w:val="0"/>
      <w:marRight w:val="0"/>
      <w:marTop w:val="0"/>
      <w:marBottom w:val="0"/>
      <w:divBdr>
        <w:top w:val="none" w:sz="0" w:space="0" w:color="auto"/>
        <w:left w:val="none" w:sz="0" w:space="0" w:color="auto"/>
        <w:bottom w:val="none" w:sz="0" w:space="0" w:color="auto"/>
        <w:right w:val="none" w:sz="0" w:space="0" w:color="auto"/>
      </w:divBdr>
    </w:div>
    <w:div w:id="661085646">
      <w:bodyDiv w:val="1"/>
      <w:marLeft w:val="0"/>
      <w:marRight w:val="0"/>
      <w:marTop w:val="0"/>
      <w:marBottom w:val="0"/>
      <w:divBdr>
        <w:top w:val="none" w:sz="0" w:space="0" w:color="auto"/>
        <w:left w:val="none" w:sz="0" w:space="0" w:color="auto"/>
        <w:bottom w:val="none" w:sz="0" w:space="0" w:color="auto"/>
        <w:right w:val="none" w:sz="0" w:space="0" w:color="auto"/>
      </w:divBdr>
    </w:div>
    <w:div w:id="725374426">
      <w:bodyDiv w:val="1"/>
      <w:marLeft w:val="0"/>
      <w:marRight w:val="0"/>
      <w:marTop w:val="0"/>
      <w:marBottom w:val="0"/>
      <w:divBdr>
        <w:top w:val="none" w:sz="0" w:space="0" w:color="auto"/>
        <w:left w:val="none" w:sz="0" w:space="0" w:color="auto"/>
        <w:bottom w:val="none" w:sz="0" w:space="0" w:color="auto"/>
        <w:right w:val="none" w:sz="0" w:space="0" w:color="auto"/>
      </w:divBdr>
    </w:div>
    <w:div w:id="740443506">
      <w:bodyDiv w:val="1"/>
      <w:marLeft w:val="0"/>
      <w:marRight w:val="0"/>
      <w:marTop w:val="0"/>
      <w:marBottom w:val="0"/>
      <w:divBdr>
        <w:top w:val="none" w:sz="0" w:space="0" w:color="auto"/>
        <w:left w:val="none" w:sz="0" w:space="0" w:color="auto"/>
        <w:bottom w:val="none" w:sz="0" w:space="0" w:color="auto"/>
        <w:right w:val="none" w:sz="0" w:space="0" w:color="auto"/>
      </w:divBdr>
    </w:div>
    <w:div w:id="806161669">
      <w:bodyDiv w:val="1"/>
      <w:marLeft w:val="0"/>
      <w:marRight w:val="0"/>
      <w:marTop w:val="0"/>
      <w:marBottom w:val="0"/>
      <w:divBdr>
        <w:top w:val="none" w:sz="0" w:space="0" w:color="auto"/>
        <w:left w:val="none" w:sz="0" w:space="0" w:color="auto"/>
        <w:bottom w:val="none" w:sz="0" w:space="0" w:color="auto"/>
        <w:right w:val="none" w:sz="0" w:space="0" w:color="auto"/>
      </w:divBdr>
    </w:div>
    <w:div w:id="835340506">
      <w:bodyDiv w:val="1"/>
      <w:marLeft w:val="0"/>
      <w:marRight w:val="0"/>
      <w:marTop w:val="0"/>
      <w:marBottom w:val="0"/>
      <w:divBdr>
        <w:top w:val="none" w:sz="0" w:space="0" w:color="auto"/>
        <w:left w:val="none" w:sz="0" w:space="0" w:color="auto"/>
        <w:bottom w:val="none" w:sz="0" w:space="0" w:color="auto"/>
        <w:right w:val="none" w:sz="0" w:space="0" w:color="auto"/>
      </w:divBdr>
    </w:div>
    <w:div w:id="841512664">
      <w:bodyDiv w:val="1"/>
      <w:marLeft w:val="0"/>
      <w:marRight w:val="0"/>
      <w:marTop w:val="0"/>
      <w:marBottom w:val="0"/>
      <w:divBdr>
        <w:top w:val="none" w:sz="0" w:space="0" w:color="auto"/>
        <w:left w:val="none" w:sz="0" w:space="0" w:color="auto"/>
        <w:bottom w:val="none" w:sz="0" w:space="0" w:color="auto"/>
        <w:right w:val="none" w:sz="0" w:space="0" w:color="auto"/>
      </w:divBdr>
    </w:div>
    <w:div w:id="919994444">
      <w:bodyDiv w:val="1"/>
      <w:marLeft w:val="0"/>
      <w:marRight w:val="0"/>
      <w:marTop w:val="0"/>
      <w:marBottom w:val="0"/>
      <w:divBdr>
        <w:top w:val="none" w:sz="0" w:space="0" w:color="auto"/>
        <w:left w:val="none" w:sz="0" w:space="0" w:color="auto"/>
        <w:bottom w:val="none" w:sz="0" w:space="0" w:color="auto"/>
        <w:right w:val="none" w:sz="0" w:space="0" w:color="auto"/>
      </w:divBdr>
    </w:div>
    <w:div w:id="1013458458">
      <w:bodyDiv w:val="1"/>
      <w:marLeft w:val="0"/>
      <w:marRight w:val="0"/>
      <w:marTop w:val="0"/>
      <w:marBottom w:val="0"/>
      <w:divBdr>
        <w:top w:val="none" w:sz="0" w:space="0" w:color="auto"/>
        <w:left w:val="none" w:sz="0" w:space="0" w:color="auto"/>
        <w:bottom w:val="none" w:sz="0" w:space="0" w:color="auto"/>
        <w:right w:val="none" w:sz="0" w:space="0" w:color="auto"/>
      </w:divBdr>
    </w:div>
    <w:div w:id="1021587139">
      <w:bodyDiv w:val="1"/>
      <w:marLeft w:val="0"/>
      <w:marRight w:val="0"/>
      <w:marTop w:val="0"/>
      <w:marBottom w:val="0"/>
      <w:divBdr>
        <w:top w:val="none" w:sz="0" w:space="0" w:color="auto"/>
        <w:left w:val="none" w:sz="0" w:space="0" w:color="auto"/>
        <w:bottom w:val="none" w:sz="0" w:space="0" w:color="auto"/>
        <w:right w:val="none" w:sz="0" w:space="0" w:color="auto"/>
      </w:divBdr>
    </w:div>
    <w:div w:id="1028337738">
      <w:bodyDiv w:val="1"/>
      <w:marLeft w:val="0"/>
      <w:marRight w:val="0"/>
      <w:marTop w:val="0"/>
      <w:marBottom w:val="0"/>
      <w:divBdr>
        <w:top w:val="none" w:sz="0" w:space="0" w:color="auto"/>
        <w:left w:val="none" w:sz="0" w:space="0" w:color="auto"/>
        <w:bottom w:val="none" w:sz="0" w:space="0" w:color="auto"/>
        <w:right w:val="none" w:sz="0" w:space="0" w:color="auto"/>
      </w:divBdr>
    </w:div>
    <w:div w:id="1055398813">
      <w:bodyDiv w:val="1"/>
      <w:marLeft w:val="0"/>
      <w:marRight w:val="0"/>
      <w:marTop w:val="0"/>
      <w:marBottom w:val="0"/>
      <w:divBdr>
        <w:top w:val="none" w:sz="0" w:space="0" w:color="auto"/>
        <w:left w:val="none" w:sz="0" w:space="0" w:color="auto"/>
        <w:bottom w:val="none" w:sz="0" w:space="0" w:color="auto"/>
        <w:right w:val="none" w:sz="0" w:space="0" w:color="auto"/>
      </w:divBdr>
    </w:div>
    <w:div w:id="1085612761">
      <w:bodyDiv w:val="1"/>
      <w:marLeft w:val="0"/>
      <w:marRight w:val="0"/>
      <w:marTop w:val="0"/>
      <w:marBottom w:val="0"/>
      <w:divBdr>
        <w:top w:val="none" w:sz="0" w:space="0" w:color="auto"/>
        <w:left w:val="none" w:sz="0" w:space="0" w:color="auto"/>
        <w:bottom w:val="none" w:sz="0" w:space="0" w:color="auto"/>
        <w:right w:val="none" w:sz="0" w:space="0" w:color="auto"/>
      </w:divBdr>
    </w:div>
    <w:div w:id="1111166831">
      <w:bodyDiv w:val="1"/>
      <w:marLeft w:val="0"/>
      <w:marRight w:val="0"/>
      <w:marTop w:val="0"/>
      <w:marBottom w:val="0"/>
      <w:divBdr>
        <w:top w:val="none" w:sz="0" w:space="0" w:color="auto"/>
        <w:left w:val="none" w:sz="0" w:space="0" w:color="auto"/>
        <w:bottom w:val="none" w:sz="0" w:space="0" w:color="auto"/>
        <w:right w:val="none" w:sz="0" w:space="0" w:color="auto"/>
      </w:divBdr>
    </w:div>
    <w:div w:id="1116372129">
      <w:bodyDiv w:val="1"/>
      <w:marLeft w:val="0"/>
      <w:marRight w:val="0"/>
      <w:marTop w:val="0"/>
      <w:marBottom w:val="0"/>
      <w:divBdr>
        <w:top w:val="none" w:sz="0" w:space="0" w:color="auto"/>
        <w:left w:val="none" w:sz="0" w:space="0" w:color="auto"/>
        <w:bottom w:val="none" w:sz="0" w:space="0" w:color="auto"/>
        <w:right w:val="none" w:sz="0" w:space="0" w:color="auto"/>
      </w:divBdr>
      <w:divsChild>
        <w:div w:id="1265917273">
          <w:marLeft w:val="0"/>
          <w:marRight w:val="0"/>
          <w:marTop w:val="0"/>
          <w:marBottom w:val="0"/>
          <w:divBdr>
            <w:top w:val="none" w:sz="0" w:space="0" w:color="auto"/>
            <w:left w:val="none" w:sz="0" w:space="0" w:color="auto"/>
            <w:bottom w:val="none" w:sz="0" w:space="0" w:color="auto"/>
            <w:right w:val="none" w:sz="0" w:space="0" w:color="auto"/>
          </w:divBdr>
        </w:div>
      </w:divsChild>
    </w:div>
    <w:div w:id="1127745036">
      <w:bodyDiv w:val="1"/>
      <w:marLeft w:val="0"/>
      <w:marRight w:val="0"/>
      <w:marTop w:val="0"/>
      <w:marBottom w:val="0"/>
      <w:divBdr>
        <w:top w:val="none" w:sz="0" w:space="0" w:color="auto"/>
        <w:left w:val="none" w:sz="0" w:space="0" w:color="auto"/>
        <w:bottom w:val="none" w:sz="0" w:space="0" w:color="auto"/>
        <w:right w:val="none" w:sz="0" w:space="0" w:color="auto"/>
      </w:divBdr>
    </w:div>
    <w:div w:id="1145513922">
      <w:bodyDiv w:val="1"/>
      <w:marLeft w:val="0"/>
      <w:marRight w:val="0"/>
      <w:marTop w:val="0"/>
      <w:marBottom w:val="0"/>
      <w:divBdr>
        <w:top w:val="none" w:sz="0" w:space="0" w:color="auto"/>
        <w:left w:val="none" w:sz="0" w:space="0" w:color="auto"/>
        <w:bottom w:val="none" w:sz="0" w:space="0" w:color="auto"/>
        <w:right w:val="none" w:sz="0" w:space="0" w:color="auto"/>
      </w:divBdr>
    </w:div>
    <w:div w:id="1199706189">
      <w:bodyDiv w:val="1"/>
      <w:marLeft w:val="0"/>
      <w:marRight w:val="0"/>
      <w:marTop w:val="0"/>
      <w:marBottom w:val="0"/>
      <w:divBdr>
        <w:top w:val="none" w:sz="0" w:space="0" w:color="auto"/>
        <w:left w:val="none" w:sz="0" w:space="0" w:color="auto"/>
        <w:bottom w:val="none" w:sz="0" w:space="0" w:color="auto"/>
        <w:right w:val="none" w:sz="0" w:space="0" w:color="auto"/>
      </w:divBdr>
    </w:div>
    <w:div w:id="1276518106">
      <w:bodyDiv w:val="1"/>
      <w:marLeft w:val="0"/>
      <w:marRight w:val="0"/>
      <w:marTop w:val="0"/>
      <w:marBottom w:val="0"/>
      <w:divBdr>
        <w:top w:val="none" w:sz="0" w:space="0" w:color="auto"/>
        <w:left w:val="none" w:sz="0" w:space="0" w:color="auto"/>
        <w:bottom w:val="none" w:sz="0" w:space="0" w:color="auto"/>
        <w:right w:val="none" w:sz="0" w:space="0" w:color="auto"/>
      </w:divBdr>
    </w:div>
    <w:div w:id="1341350649">
      <w:bodyDiv w:val="1"/>
      <w:marLeft w:val="0"/>
      <w:marRight w:val="0"/>
      <w:marTop w:val="0"/>
      <w:marBottom w:val="0"/>
      <w:divBdr>
        <w:top w:val="none" w:sz="0" w:space="0" w:color="auto"/>
        <w:left w:val="none" w:sz="0" w:space="0" w:color="auto"/>
        <w:bottom w:val="none" w:sz="0" w:space="0" w:color="auto"/>
        <w:right w:val="none" w:sz="0" w:space="0" w:color="auto"/>
      </w:divBdr>
    </w:div>
    <w:div w:id="1372338488">
      <w:bodyDiv w:val="1"/>
      <w:marLeft w:val="0"/>
      <w:marRight w:val="0"/>
      <w:marTop w:val="0"/>
      <w:marBottom w:val="0"/>
      <w:divBdr>
        <w:top w:val="none" w:sz="0" w:space="0" w:color="auto"/>
        <w:left w:val="none" w:sz="0" w:space="0" w:color="auto"/>
        <w:bottom w:val="none" w:sz="0" w:space="0" w:color="auto"/>
        <w:right w:val="none" w:sz="0" w:space="0" w:color="auto"/>
      </w:divBdr>
    </w:div>
    <w:div w:id="1372849476">
      <w:bodyDiv w:val="1"/>
      <w:marLeft w:val="0"/>
      <w:marRight w:val="0"/>
      <w:marTop w:val="0"/>
      <w:marBottom w:val="0"/>
      <w:divBdr>
        <w:top w:val="none" w:sz="0" w:space="0" w:color="auto"/>
        <w:left w:val="none" w:sz="0" w:space="0" w:color="auto"/>
        <w:bottom w:val="none" w:sz="0" w:space="0" w:color="auto"/>
        <w:right w:val="none" w:sz="0" w:space="0" w:color="auto"/>
      </w:divBdr>
    </w:div>
    <w:div w:id="1468743416">
      <w:bodyDiv w:val="1"/>
      <w:marLeft w:val="0"/>
      <w:marRight w:val="0"/>
      <w:marTop w:val="0"/>
      <w:marBottom w:val="0"/>
      <w:divBdr>
        <w:top w:val="none" w:sz="0" w:space="0" w:color="auto"/>
        <w:left w:val="none" w:sz="0" w:space="0" w:color="auto"/>
        <w:bottom w:val="none" w:sz="0" w:space="0" w:color="auto"/>
        <w:right w:val="none" w:sz="0" w:space="0" w:color="auto"/>
      </w:divBdr>
    </w:div>
    <w:div w:id="1503353758">
      <w:bodyDiv w:val="1"/>
      <w:marLeft w:val="0"/>
      <w:marRight w:val="0"/>
      <w:marTop w:val="0"/>
      <w:marBottom w:val="0"/>
      <w:divBdr>
        <w:top w:val="none" w:sz="0" w:space="0" w:color="auto"/>
        <w:left w:val="none" w:sz="0" w:space="0" w:color="auto"/>
        <w:bottom w:val="none" w:sz="0" w:space="0" w:color="auto"/>
        <w:right w:val="none" w:sz="0" w:space="0" w:color="auto"/>
      </w:divBdr>
    </w:div>
    <w:div w:id="1507329103">
      <w:bodyDiv w:val="1"/>
      <w:marLeft w:val="0"/>
      <w:marRight w:val="0"/>
      <w:marTop w:val="0"/>
      <w:marBottom w:val="0"/>
      <w:divBdr>
        <w:top w:val="none" w:sz="0" w:space="0" w:color="auto"/>
        <w:left w:val="none" w:sz="0" w:space="0" w:color="auto"/>
        <w:bottom w:val="none" w:sz="0" w:space="0" w:color="auto"/>
        <w:right w:val="none" w:sz="0" w:space="0" w:color="auto"/>
      </w:divBdr>
    </w:div>
    <w:div w:id="1559589783">
      <w:bodyDiv w:val="1"/>
      <w:marLeft w:val="0"/>
      <w:marRight w:val="0"/>
      <w:marTop w:val="0"/>
      <w:marBottom w:val="0"/>
      <w:divBdr>
        <w:top w:val="none" w:sz="0" w:space="0" w:color="auto"/>
        <w:left w:val="none" w:sz="0" w:space="0" w:color="auto"/>
        <w:bottom w:val="none" w:sz="0" w:space="0" w:color="auto"/>
        <w:right w:val="none" w:sz="0" w:space="0" w:color="auto"/>
      </w:divBdr>
    </w:div>
    <w:div w:id="1563104425">
      <w:bodyDiv w:val="1"/>
      <w:marLeft w:val="0"/>
      <w:marRight w:val="0"/>
      <w:marTop w:val="0"/>
      <w:marBottom w:val="0"/>
      <w:divBdr>
        <w:top w:val="none" w:sz="0" w:space="0" w:color="auto"/>
        <w:left w:val="none" w:sz="0" w:space="0" w:color="auto"/>
        <w:bottom w:val="none" w:sz="0" w:space="0" w:color="auto"/>
        <w:right w:val="none" w:sz="0" w:space="0" w:color="auto"/>
      </w:divBdr>
    </w:div>
    <w:div w:id="1674457162">
      <w:bodyDiv w:val="1"/>
      <w:marLeft w:val="0"/>
      <w:marRight w:val="0"/>
      <w:marTop w:val="0"/>
      <w:marBottom w:val="0"/>
      <w:divBdr>
        <w:top w:val="none" w:sz="0" w:space="0" w:color="auto"/>
        <w:left w:val="none" w:sz="0" w:space="0" w:color="auto"/>
        <w:bottom w:val="none" w:sz="0" w:space="0" w:color="auto"/>
        <w:right w:val="none" w:sz="0" w:space="0" w:color="auto"/>
      </w:divBdr>
    </w:div>
    <w:div w:id="1749115568">
      <w:bodyDiv w:val="1"/>
      <w:marLeft w:val="0"/>
      <w:marRight w:val="0"/>
      <w:marTop w:val="0"/>
      <w:marBottom w:val="0"/>
      <w:divBdr>
        <w:top w:val="none" w:sz="0" w:space="0" w:color="auto"/>
        <w:left w:val="none" w:sz="0" w:space="0" w:color="auto"/>
        <w:bottom w:val="none" w:sz="0" w:space="0" w:color="auto"/>
        <w:right w:val="none" w:sz="0" w:space="0" w:color="auto"/>
      </w:divBdr>
    </w:div>
    <w:div w:id="1820533485">
      <w:bodyDiv w:val="1"/>
      <w:marLeft w:val="0"/>
      <w:marRight w:val="0"/>
      <w:marTop w:val="0"/>
      <w:marBottom w:val="0"/>
      <w:divBdr>
        <w:top w:val="none" w:sz="0" w:space="0" w:color="auto"/>
        <w:left w:val="none" w:sz="0" w:space="0" w:color="auto"/>
        <w:bottom w:val="none" w:sz="0" w:space="0" w:color="auto"/>
        <w:right w:val="none" w:sz="0" w:space="0" w:color="auto"/>
      </w:divBdr>
    </w:div>
    <w:div w:id="1860661041">
      <w:bodyDiv w:val="1"/>
      <w:marLeft w:val="0"/>
      <w:marRight w:val="0"/>
      <w:marTop w:val="0"/>
      <w:marBottom w:val="0"/>
      <w:divBdr>
        <w:top w:val="none" w:sz="0" w:space="0" w:color="auto"/>
        <w:left w:val="none" w:sz="0" w:space="0" w:color="auto"/>
        <w:bottom w:val="none" w:sz="0" w:space="0" w:color="auto"/>
        <w:right w:val="none" w:sz="0" w:space="0" w:color="auto"/>
      </w:divBdr>
    </w:div>
    <w:div w:id="1904759073">
      <w:bodyDiv w:val="1"/>
      <w:marLeft w:val="0"/>
      <w:marRight w:val="0"/>
      <w:marTop w:val="0"/>
      <w:marBottom w:val="0"/>
      <w:divBdr>
        <w:top w:val="none" w:sz="0" w:space="0" w:color="auto"/>
        <w:left w:val="none" w:sz="0" w:space="0" w:color="auto"/>
        <w:bottom w:val="none" w:sz="0" w:space="0" w:color="auto"/>
        <w:right w:val="none" w:sz="0" w:space="0" w:color="auto"/>
      </w:divBdr>
    </w:div>
    <w:div w:id="1915427811">
      <w:bodyDiv w:val="1"/>
      <w:marLeft w:val="0"/>
      <w:marRight w:val="0"/>
      <w:marTop w:val="0"/>
      <w:marBottom w:val="0"/>
      <w:divBdr>
        <w:top w:val="none" w:sz="0" w:space="0" w:color="auto"/>
        <w:left w:val="none" w:sz="0" w:space="0" w:color="auto"/>
        <w:bottom w:val="none" w:sz="0" w:space="0" w:color="auto"/>
        <w:right w:val="none" w:sz="0" w:space="0" w:color="auto"/>
      </w:divBdr>
    </w:div>
    <w:div w:id="1916470129">
      <w:bodyDiv w:val="1"/>
      <w:marLeft w:val="0"/>
      <w:marRight w:val="0"/>
      <w:marTop w:val="0"/>
      <w:marBottom w:val="0"/>
      <w:divBdr>
        <w:top w:val="none" w:sz="0" w:space="0" w:color="auto"/>
        <w:left w:val="none" w:sz="0" w:space="0" w:color="auto"/>
        <w:bottom w:val="none" w:sz="0" w:space="0" w:color="auto"/>
        <w:right w:val="none" w:sz="0" w:space="0" w:color="auto"/>
      </w:divBdr>
    </w:div>
    <w:div w:id="2003847851">
      <w:bodyDiv w:val="1"/>
      <w:marLeft w:val="0"/>
      <w:marRight w:val="0"/>
      <w:marTop w:val="0"/>
      <w:marBottom w:val="0"/>
      <w:divBdr>
        <w:top w:val="none" w:sz="0" w:space="0" w:color="auto"/>
        <w:left w:val="none" w:sz="0" w:space="0" w:color="auto"/>
        <w:bottom w:val="none" w:sz="0" w:space="0" w:color="auto"/>
        <w:right w:val="none" w:sz="0" w:space="0" w:color="auto"/>
      </w:divBdr>
    </w:div>
    <w:div w:id="2076320850">
      <w:bodyDiv w:val="1"/>
      <w:marLeft w:val="0"/>
      <w:marRight w:val="0"/>
      <w:marTop w:val="0"/>
      <w:marBottom w:val="0"/>
      <w:divBdr>
        <w:top w:val="none" w:sz="0" w:space="0" w:color="auto"/>
        <w:left w:val="none" w:sz="0" w:space="0" w:color="auto"/>
        <w:bottom w:val="none" w:sz="0" w:space="0" w:color="auto"/>
        <w:right w:val="none" w:sz="0" w:space="0" w:color="auto"/>
      </w:divBdr>
    </w:div>
    <w:div w:id="2079742245">
      <w:bodyDiv w:val="1"/>
      <w:marLeft w:val="0"/>
      <w:marRight w:val="0"/>
      <w:marTop w:val="0"/>
      <w:marBottom w:val="0"/>
      <w:divBdr>
        <w:top w:val="none" w:sz="0" w:space="0" w:color="auto"/>
        <w:left w:val="none" w:sz="0" w:space="0" w:color="auto"/>
        <w:bottom w:val="none" w:sz="0" w:space="0" w:color="auto"/>
        <w:right w:val="none" w:sz="0" w:space="0" w:color="auto"/>
      </w:divBdr>
    </w:div>
    <w:div w:id="2081176572">
      <w:bodyDiv w:val="1"/>
      <w:marLeft w:val="0"/>
      <w:marRight w:val="0"/>
      <w:marTop w:val="0"/>
      <w:marBottom w:val="0"/>
      <w:divBdr>
        <w:top w:val="none" w:sz="0" w:space="0" w:color="auto"/>
        <w:left w:val="none" w:sz="0" w:space="0" w:color="auto"/>
        <w:bottom w:val="none" w:sz="0" w:space="0" w:color="auto"/>
        <w:right w:val="none" w:sz="0" w:space="0" w:color="auto"/>
      </w:divBdr>
    </w:div>
    <w:div w:id="2088191026">
      <w:bodyDiv w:val="1"/>
      <w:marLeft w:val="0"/>
      <w:marRight w:val="0"/>
      <w:marTop w:val="0"/>
      <w:marBottom w:val="0"/>
      <w:divBdr>
        <w:top w:val="none" w:sz="0" w:space="0" w:color="auto"/>
        <w:left w:val="none" w:sz="0" w:space="0" w:color="auto"/>
        <w:bottom w:val="none" w:sz="0" w:space="0" w:color="auto"/>
        <w:right w:val="none" w:sz="0" w:space="0" w:color="auto"/>
      </w:divBdr>
    </w:div>
    <w:div w:id="2126731461">
      <w:bodyDiv w:val="1"/>
      <w:marLeft w:val="0"/>
      <w:marRight w:val="0"/>
      <w:marTop w:val="0"/>
      <w:marBottom w:val="0"/>
      <w:divBdr>
        <w:top w:val="none" w:sz="0" w:space="0" w:color="auto"/>
        <w:left w:val="none" w:sz="0" w:space="0" w:color="auto"/>
        <w:bottom w:val="none" w:sz="0" w:space="0" w:color="auto"/>
        <w:right w:val="none" w:sz="0" w:space="0" w:color="auto"/>
      </w:divBdr>
    </w:div>
    <w:div w:id="2139489011">
      <w:bodyDiv w:val="1"/>
      <w:marLeft w:val="0"/>
      <w:marRight w:val="0"/>
      <w:marTop w:val="0"/>
      <w:marBottom w:val="0"/>
      <w:divBdr>
        <w:top w:val="none" w:sz="0" w:space="0" w:color="auto"/>
        <w:left w:val="none" w:sz="0" w:space="0" w:color="auto"/>
        <w:bottom w:val="none" w:sz="0" w:space="0" w:color="auto"/>
        <w:right w:val="none" w:sz="0" w:space="0" w:color="auto"/>
      </w:divBdr>
    </w:div>
    <w:div w:id="2140107340">
      <w:bodyDiv w:val="1"/>
      <w:marLeft w:val="0"/>
      <w:marRight w:val="0"/>
      <w:marTop w:val="0"/>
      <w:marBottom w:val="0"/>
      <w:divBdr>
        <w:top w:val="none" w:sz="0" w:space="0" w:color="auto"/>
        <w:left w:val="none" w:sz="0" w:space="0" w:color="auto"/>
        <w:bottom w:val="none" w:sz="0" w:space="0" w:color="auto"/>
        <w:right w:val="none" w:sz="0" w:space="0" w:color="auto"/>
      </w:divBdr>
    </w:div>
    <w:div w:id="2145538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jpeg"/><Relationship Id="rId58" Type="http://schemas.openxmlformats.org/officeDocument/2006/relationships/hyperlink" Target="http://registro.inmetro.gov.br/consulta/Default.aspx?pag=1&amp;acao=pesquisar&amp;NumeroRegistro=&amp;ctl00%24MainContent%24ControlPesquisa1%24Situacao=&amp;dataConcessaoInicio=&amp;dataConcessaoFinal=&amp;ObjetoProduto=Lumin%C3%A1rias+para+Ilumina%C3%A7%C3%A3o+P%C3%BAblica+Vi%C3%A1ria&amp;MarcaModelo=&amp;CodigodeBarra=&amp;Atestado=&amp;Fornecedor=&amp;CNPJ=&amp;ctl00%24MainContent%24ControlPesquisa1%24SelectUF=&amp;Municipio" TargetMode="External"/><Relationship Id="rId5" Type="http://schemas.openxmlformats.org/officeDocument/2006/relationships/settings" Target="settings.xml"/><Relationship Id="rId61" Type="http://schemas.openxmlformats.org/officeDocument/2006/relationships/fontTable" Target="fontTable.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header" Target="head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footer" Target="footer1.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9EAB5E-91C0-4C28-B169-FFB22A5E8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52</Pages>
  <Words>11437</Words>
  <Characters>61765</Characters>
  <Application>Microsoft Office Word</Application>
  <DocSecurity>0</DocSecurity>
  <Lines>514</Lines>
  <Paragraphs>146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LICITACAO 01</cp:lastModifiedBy>
  <cp:revision>2</cp:revision>
  <cp:lastPrinted>2022-04-01T20:10:00Z</cp:lastPrinted>
  <dcterms:created xsi:type="dcterms:W3CDTF">2023-12-26T16:09:00Z</dcterms:created>
  <dcterms:modified xsi:type="dcterms:W3CDTF">2024-01-05T12:15:00Z</dcterms:modified>
</cp:coreProperties>
</file>